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U.S. Securities and Exchange Commission on July 22, 2026</w:t>
      </w:r>
    </w:p>
    <w:p>
      <w:pPr>
        <w:pStyle w:val="TextBody"/>
        <w:keepNext w:val="true"/>
        <w:pageBreakBefore w:val="false"/>
        <w:widowControl/>
        <w:pBdr/>
        <w:bidi w:val="0"/>
        <w:spacing w:before="40" w:after="283"/>
        <w:ind w:left="0" w:right="4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20" w:after="283"/>
        <w:ind w:left="0" w:right="4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S-4</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AIR INDUSTRIES GROUP</w:t>
      </w:r>
    </w:p>
    <w:p>
      <w:pPr>
        <w:pStyle w:val="TextBody"/>
        <w:keepNext w:val="false"/>
        <w:pageBreakBefore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Nevada</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3728</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80-0948413</w:t>
            </w:r>
          </w:p>
        </w:tc>
      </w:tr>
      <w:tr>
        <w:trPr/>
        <w:tc>
          <w:tcPr>
            <w:tcW w:w="301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1460 Fifth Avenue</w:t>
        <w:br/>
        <w:t>Bay Shore, New York 11706</w:t>
        <w:br/>
        <w:t>(631) 968-5000</w:t>
        <w:br/>
      </w:r>
      <w:r>
        <w:rPr>
          <w:rFonts w:ascii="Times New Roman PS Std;serif" w:hAnsi="Times New Roman PS Std;serif"/>
          <w:b w:val="false"/>
          <w:i w:val="false"/>
          <w:caps w:val="false"/>
          <w:smallCaps w:val="false"/>
          <w:sz w:val="20"/>
        </w:rPr>
        <w:t xml:space="preserve">(Address, including zip code, and telephone number, including area code, of registrant’s principal executive offices) </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Scott Glassman</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Acting Chief Executive Officer and President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1460 Fifth Avenue</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Bay Shore, New York 11706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(631) 968-5000</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i/>
          <w:caps w:val="false"/>
          <w:smallCaps w:val="false"/>
          <w:sz w:val="20"/>
        </w:rPr>
        <w:t>With Copies to:</w:t>
      </w:r>
      <w:r>
        <w:rPr>
          <w:rFonts w:ascii="Times New Roman PS Std;serif" w:hAnsi="Times New Roman PS Std;serif"/>
          <w:b w:val="false"/>
          <w:i/>
          <w:caps w:val="false"/>
          <w:smallCaps w:val="false"/>
          <w:sz w:val="20"/>
        </w:rPr>
        <w:t xml:space="preserve"> </w:t>
      </w:r>
    </w:p>
    <w:tbl>
      <w:tblPr>
        <w:tblW w:w="8480" w:type="dxa"/>
        <w:jc w:val="left"/>
        <w:tblInd w:w="0" w:type="dxa"/>
        <w:tblLayout w:type="fixed"/>
        <w:tblCellMar>
          <w:top w:w="0" w:type="dxa"/>
          <w:left w:w="0" w:type="dxa"/>
          <w:bottom w:w="0" w:type="dxa"/>
          <w:right w:w="0" w:type="dxa"/>
        </w:tblCellMar>
      </w:tblPr>
      <w:tblGrid>
        <w:gridCol w:w="4636"/>
        <w:gridCol w:w="146"/>
        <w:gridCol w:w="146"/>
        <w:gridCol w:w="146"/>
        <w:gridCol w:w="3406"/>
      </w:tblGrid>
      <w:tr>
        <w:trPr/>
        <w:tc>
          <w:tcPr>
            <w:tcW w:w="463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Vincent J. McGill</w:t>
              <w:br/>
              <w:t>Ellenoff Grossman &amp; Schole LLP</w:t>
              <w:br/>
              <w:t>1345 Avenue of the Americas, 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 xml:space="preserve">New York, New York 10105 </w:t>
              <w:br/>
              <w:t>(516) 220-6569</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06"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E. Dunn</w:t>
              <w:br/>
              <w:t>Matthew L. Ploszek</w:t>
              <w:br/>
              <w:t>Cravath, Swaine &amp; Moore LLP</w:t>
              <w:br/>
              <w:t>Two Manhattan West</w:t>
              <w:br/>
              <w:t>375 Ninth Avenue</w:t>
              <w:br/>
              <w:t>New York, New York 10001</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474-1000</w:t>
            </w:r>
          </w:p>
        </w:tc>
      </w:tr>
    </w:tbl>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of the securities to the public: </w:t>
      </w:r>
      <w:r>
        <w:rPr>
          <w:rFonts w:ascii="Times New Roman PS Std;serif" w:hAnsi="Times New Roman PS Std;serif"/>
          <w:b w:val="false"/>
          <w:i w:val="false"/>
          <w:caps w:val="false"/>
          <w:smallCaps w:val="false"/>
          <w:sz w:val="16"/>
        </w:rPr>
        <w:t xml:space="preserve">As soon as practicable after this registration statement is declared effective and upon completion of the transactions described in the enclosed information statement/prospectus. </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6487" w:type="dxa"/>
        <w:jc w:val="left"/>
        <w:tblInd w:w="0" w:type="dxa"/>
        <w:tblLayout w:type="fixed"/>
        <w:tblCellMar>
          <w:top w:w="0" w:type="dxa"/>
          <w:left w:w="0" w:type="dxa"/>
          <w:bottom w:w="0" w:type="dxa"/>
          <w:right w:w="0" w:type="dxa"/>
        </w:tblCellMar>
      </w:tblPr>
      <w:tblGrid>
        <w:gridCol w:w="2011"/>
        <w:gridCol w:w="146"/>
        <w:gridCol w:w="796"/>
        <w:gridCol w:w="146"/>
        <w:gridCol w:w="2401"/>
        <w:gridCol w:w="146"/>
        <w:gridCol w:w="841"/>
      </w:tblGrid>
      <w:tr>
        <w:trPr/>
        <w:tc>
          <w:tcPr>
            <w:tcW w:w="20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tcPr>
          <w:p>
            <w:pPr>
              <w:pStyle w:val="TableContents"/>
              <w:bidi w:val="0"/>
              <w:spacing w:before="0" w:after="283"/>
              <w:jc w:val="left"/>
              <w:rPr/>
            </w:pPr>
            <w:r>
              <w:rPr/>
              <w:t> </w:t>
            </w:r>
          </w:p>
        </w:tc>
        <w:tc>
          <w:tcPr>
            <w:tcW w:w="84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0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Non-accelerated filer</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160" w:after="283"/>
              <w:ind w:left="0" w:right="0" w:firstLine="480"/>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tcPr>
          <w:p>
            <w:pPr>
              <w:pStyle w:val="TableContents"/>
              <w:bidi w:val="0"/>
              <w:spacing w:before="0" w:after="283"/>
              <w:jc w:val="left"/>
              <w:rPr/>
            </w:pPr>
            <w:r>
              <w:rPr/>
              <w:t> </w:t>
            </w:r>
          </w:p>
        </w:tc>
        <w:tc>
          <w:tcPr>
            <w:tcW w:w="841" w:type="dxa"/>
            <w:tcBorders/>
          </w:tcPr>
          <w:p>
            <w:pPr>
              <w:pStyle w:val="TableContents"/>
              <w:keepNext w:val="false"/>
              <w:widowControl/>
              <w:pBdr/>
              <w:bidi w:val="0"/>
              <w:spacing w:before="160" w:after="283"/>
              <w:ind w:left="0" w:right="0" w:firstLine="480"/>
              <w:jc w:val="both"/>
              <w:rPr>
                <w:caps w:val="false"/>
                <w:smallCaps w:val="false"/>
              </w:rPr>
            </w:pPr>
            <w:r>
              <w:rPr>
                <w:caps w:val="false"/>
                <w:smallCaps w:val="false"/>
              </w:rPr>
              <w:t>☒</w:t>
            </w:r>
          </w:p>
        </w:tc>
      </w:tr>
      <w:tr>
        <w:trPr/>
        <w:tc>
          <w:tcPr>
            <w:tcW w:w="20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tcPr>
          <w:p>
            <w:pPr>
              <w:pStyle w:val="TableContents"/>
              <w:bidi w:val="0"/>
              <w:spacing w:before="0" w:after="283"/>
              <w:jc w:val="left"/>
              <w:rPr/>
            </w:pPr>
            <w:r>
              <w:rPr/>
              <w:t> </w:t>
            </w:r>
          </w:p>
        </w:tc>
        <w:tc>
          <w:tcPr>
            <w:tcW w:w="84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If applicable, place an X in the box to designate the appropriate rule provision relied upon in conducting this transaction: </w:t>
      </w:r>
    </w:p>
    <w:tbl>
      <w:tblPr>
        <w:tblW w:w="6421" w:type="dxa"/>
        <w:jc w:val="left"/>
        <w:tblInd w:w="0" w:type="dxa"/>
        <w:tblLayout w:type="fixed"/>
        <w:tblCellMar>
          <w:top w:w="0" w:type="dxa"/>
          <w:left w:w="0" w:type="dxa"/>
          <w:bottom w:w="0" w:type="dxa"/>
          <w:right w:w="0" w:type="dxa"/>
        </w:tblCellMar>
      </w:tblPr>
      <w:tblGrid>
        <w:gridCol w:w="6421"/>
      </w:tblGrid>
      <w:tr>
        <w:trPr/>
        <w:tc>
          <w:tcPr>
            <w:tcW w:w="6421" w:type="dxa"/>
            <w:tcBorders/>
          </w:tcPr>
          <w:p>
            <w:pPr>
              <w:pStyle w:val="TableContents"/>
              <w:keepNext w:val="false"/>
              <w:widowControl/>
              <w:pBdr/>
              <w:bidi w:val="0"/>
              <w:spacing w:before="0" w:after="283"/>
              <w:ind w:left="48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13e-4(i) (Cross-Border Issuer Tender Offer)                  </w:t>
            </w:r>
            <w:r>
              <w:rPr>
                <w:rFonts w:ascii="Times New Roman PS Std;serif" w:hAnsi="Times New Roman PS Std;serif"/>
                <w:b w:val="false"/>
                <w:i w:val="false"/>
                <w:caps w:val="false"/>
                <w:smallCaps w:val="false"/>
                <w:sz w:val="20"/>
              </w:rPr>
              <w:t>☐</w:t>
            </w:r>
          </w:p>
        </w:tc>
      </w:tr>
      <w:tr>
        <w:trPr/>
        <w:tc>
          <w:tcPr>
            <w:tcW w:w="6421" w:type="dxa"/>
            <w:tcBorders/>
          </w:tcPr>
          <w:p>
            <w:pPr>
              <w:pStyle w:val="TableContents"/>
              <w:keepNext w:val="false"/>
              <w:widowControl/>
              <w:pBdr/>
              <w:bidi w:val="0"/>
              <w:spacing w:before="0" w:after="283"/>
              <w:ind w:left="48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14d-1(d) (Cross-Border Third-Party Tender Offer)        </w:t>
            </w: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keepNext w:val="false"/>
        <w:pageBreakBefore w:val="false"/>
        <w:widowControl/>
        <w:pBdr/>
        <w:bidi w:val="0"/>
        <w:spacing w:before="6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contained in this proxy statement/prospectus is not complete and may be changed. These securities may not be issued until the registration statement filed with the U.S. Securities and Exchange Commission becomes effective. This proxy statement/prospectus is not an offer to sell these securities and does not constitute the solicitation of an offer to buy these securities in any jurisdiction where the offer or sale of these securities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DATED JULY 22,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 FROM THE CHAIRMAN OF THE BOARD</w:t>
        <w:br/>
        <w:t>AND</w:t>
        <w:br/>
        <w:t>THE ACTING CHIEF EXECUTIVE OFFICER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Air Industries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invite you to attend a special meeting of stockholders of Air Industries Group, a Nevada corporation, referred to as AIR, to be held on [•], 2026, at [•] [A.M./P.M.], Eastern Time. The special meeting will be held in person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announced, AIR, Tenax Aerospace Acquisition, LLC, a Delaware limited liability company, referred to as Tenax, and Transitory Air Sub LLC, a Delaware limited liability company and a wholly owned subsidiary of AIR, referred to as Merger Sub, have entered into an Amended and Restated Agreement and Plan of Merger, dated as of July 2, 2026, referred to as the merger agreement. The merger agreement amended and restated that certain Agreement and Plan of Merger, dated as of February 16, 2026, by and among Tenax, AIR and Merger Sub (as amended by Amendment No. 1 to the Agreement and Plan of Merger, dated as of June 8, 2026), referred to as the original merger agreement. Pursuant to the terms of the merger agreement, Merger Sub will be merged with and into Tenax, with Tenax surviving the merger as a wholly owned subsidiary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focusing on enduring special mission aviation programs critical to national security and the public interest, including aerial firefighting, airborne ISR, airborne engagement simulation and airborne sensor testing and training.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AIR will issue or reserve for issuance, as applicable, 126,900,000 shares (which number will be adjusted to 25,380,000 shares after giving effect to the proposed amendment to the articles of incorporation of AIR contemplated by the authorized shares proposal and the subsequent reverse stock split of AIR’s common stock, each as described in this proxy statement/prospectus) of its common stock, par value $0.001 per share, referred to as AIR common stock, to the holders of membership interests of Tenax, referred to as the Tenax Members, and the holders of warrants of Tenax, referred to as the Tenax Warrantholders, as merger consideration. The portion of the merger consideration allocable to the Tenax Members will be issued at the effective time, and the portion of the merger consideration allocable to the Tenax Warrantholders will be reserved for issuance upon the exercise of their warrants, as further described 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survive following the merger and will remain a publicly traded corporation listed on the NYSE American under the symbol “AIRI”, referred to as the combined company. As a result of the merger, holders of our common stock as of immediately prior to the effective time are expected to collectively own approximately 4% of the outstanding shares of the common stock of the combined company, on a fully diluted basis, and the Tenax Members and Tenax Warrantholders as of immediately prior to the effective time are expected to collectively own approximately 96% of the outstanding shares of the common stock of the combined company, on a fully diluted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AIR’s articles of incorporation will be amended to (a) increase the number of authorized shares of AIR common stock from 20,000,000 to 200,000,000 and (b)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in each case as conditions to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you will be asked to vote 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approve the issuance of AIR common stock as merger consideration pursuant to the terms of the merger agreement, in compliance with Section 713(b) of the NYSE American Company Guide, resulting in a change of control of AIR, referred to as the stock issuance proposal;</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amend the articles of incorporation of AIR to increase the number of authorized shares of AIR common stock from 20,000,000 to 200,000,000, referred to as the authorized shares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 proposal to approve an advisory resolution regarding the compensation that may be paid or become payable to AIR’s Named Executive Officers in connection with the merger, referred to as the transaction compensation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not asking our stockholders to approve the merger agreement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stock issuance proposal requires, in accordance with Section 713(b) of the NYSE American Company Guide, that the votes cast “FOR” the proposal exceed the votes cast “AGAINST” the proposal.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or an abstention will each have the same effect as a vote “AGAINST”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adjournment proposal requires that the votes cast “FOR” the proposal exceed the votes cast “AGAINST” the proposal. The approval of the adjournment proposal is not a condition to the consummation of the merger.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completion of the merger is conditioned on approval of the stock issuance proposal, the authorized shares proposal and the written consent proposal. </w:t>
      </w:r>
      <w:r>
        <w:rPr>
          <w:rFonts w:ascii="Times New Roman PS Std;serif" w:hAnsi="Times New Roman PS Std;serif"/>
          <w:b/>
          <w:i w:val="false"/>
          <w:caps w:val="false"/>
          <w:smallCaps w:val="false"/>
          <w:sz w:val="20"/>
        </w:rPr>
        <w:t>Your vote is very important, regardless of the number of shares you own. Whether or not you plan to attend the special meeting, we hope you will vote as soon as possible.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unanimously (a) determined that the merger agreement and the transactions contemplated thereby are fair to and in the best interests of AIR and its stockholders, (b) adopted and approved the merger agreement and the transactions contemplated by the merger agreement and (c) resolved to recommend that the stockholders of AIR approve the stock issuance proposal, the authorized shares proposal, the written consent proposal, the transaction compensation proposal and the adjournment proposal. </w:t>
      </w:r>
      <w:r>
        <w:rPr>
          <w:rFonts w:ascii="Times New Roman PS Std;serif" w:hAnsi="Times New Roman PS Std;serif"/>
          <w:b/>
          <w:i w:val="false"/>
          <w:caps w:val="false"/>
          <w:smallCaps w:val="false"/>
          <w:sz w:val="20"/>
        </w:rPr>
        <w:t>ACCORDINGLY, OUR BOARD OF DIRECTORS UNANIMOUSLY RECOMMENDS THAT STOCKHOLDERS VOTE “FOR” THE STOCK ISSUANCE PROPOSAL, “FOR” THE AUTHORIZED SHARES PROPOSAL, “FOR” THE WRITTEN CONSENT PROPOSAL, “FOR” THE TRANSACTION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obligations to complete the merger are subject to the satisfaction or waiver of several conditions set forth in the merger agreement, a copy of which is included herein as Annex A. The proxy statement/prospectus provides you with detailed information about the proposed merger, the merger agreement and the transactions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contemplated thereby. It also contains or references information about us and Tenax and certain related matters. You are encouraged to read this document carefully. In particular, you should read the “Risk Factors” section beginning on page 16 for a discussion of the risks you should consider in evaluating the proposed merger and how it will affect you. If you have any questions regarding this proxy statement/prospectus, you may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AIR. We look forward to the successful completion of the merger.</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br/>
      </w:r>
      <w:r>
        <w:rPr>
          <w:rFonts w:ascii="Times New Roman PS Std;serif" w:hAnsi="Times New Roman PS Std;serif"/>
          <w:b w:val="false"/>
          <w:i/>
          <w:caps w:val="false"/>
          <w:smallCaps w:val="false"/>
          <w:sz w:val="20"/>
        </w:rPr>
        <w:t>Chair of the Board</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br/>
      </w:r>
      <w:r>
        <w:rPr>
          <w:rFonts w:ascii="Times New Roman PS Std;serif" w:hAnsi="Times New Roman PS Std;serif"/>
          <w:b w:val="false"/>
          <w:i/>
          <w:caps w:val="false"/>
          <w:smallCaps w:val="false"/>
          <w:sz w:val="20"/>
        </w:rPr>
        <w:t>Acting Chief Executive Officer and President</w:t>
      </w:r>
    </w:p>
    <w:p>
      <w:pPr>
        <w:pStyle w:val="TextBody"/>
        <w:keepNext w:val="tru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U.S. Securities and Exchange Commission nor any state securities commission has approved or disapproved of the merger, or the other transactions contemplated by the merger agreement, or determined that this proxy statement/prospectus is accurate or complete.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dated [•], 2026 and is first being mailed to AIR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a special meeting of stockholders of Air Industries Group, a Nevada corporation, referred to as AIR, will be held on [•], 2026, at [•] [A.M./P.M.], Eastern Time,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statement/prospectus.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being held for the following purposes: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vote on a proposal to approve the issuance of AIR common stock as merger consideration pursuant to the Amended and Restated Agreement and Plan of Merger, dated as of July 2, 2026, referred to as the merger agreement, among AIR, Tenax Aerospace Acquisition, LLC, a Delaware limited liability company, referred to as Tenax, and Transitory Air Sub LLC, a Delaware limited liability company and a wholly owned subsidiary of AIR, referred to as Merger Sub, a copy of which is included as Annex A to the proxy statement/prospectus of which this notice forms a part, in compliance with Section 713(b) of the NYSE American Company Guide, resulting in a change of control of AIR, referred to as the stock issuance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vote on a proposal to amend the articles of incorporation of AIR to increase the number of authorized shares of AIR common stock from 20,000,000 to 200,000,000, referred to as the authorized shares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vote on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vote on a proposal to approve an advisory, non-binding resolution regarding the compensation that may be paid or become payable to AIR’s Named Executive Officers in connection with the merger, referred to as the transaction compensation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vote on 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other business will be transacted at the special meeting.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proxy is being solicited by our board of directors. </w:t>
      </w:r>
      <w:r>
        <w:rPr>
          <w:rFonts w:ascii="Times New Roman PS Std;serif" w:hAnsi="Times New Roman PS Std;serif"/>
          <w:b/>
          <w:i w:val="false"/>
          <w:caps w:val="false"/>
          <w:smallCaps w:val="false"/>
          <w:sz w:val="20"/>
        </w:rPr>
        <w:t>Our board of directors has unanimously (a) determined that the merger agreement and the transactions contemplated thereby are fair to and in the best interests of AIR and its stockholders, (b) adopted and approved the merger agreement and transactions contemplated by the merger agreement and (c) resolved to recommend that the stockholders of AIR approve the stock issuance proposal, the authorized shares proposal, the written consent proposal, the transaction compensation proposal and the adjournment proposal. ACCORDINGLY, OUR BOARD OF DIRECTORS UNANIMOUSLY RECOMMENDS THAT STOCKHOLDERS VOTE “FOR” THE STOCK ISSUANCE PROPOSAL, “FOR” THE AUTHORIZED SHARES PROPOSAL, “FOR” THE WRITTEN CONSENT PROPOSAL, “FOR” THE TRANSACTION COMPENSATION PROPOSAL AND “FOR” THE ADJOURNMENT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fixed the close of business on [•], 2026, as the record date for the special meeting for determination of AIR stockholders entitled to receive notice of, and to vote at, the special meeting of AIR stockholders or any adjournments or postponements thereof. Only holders of record of our common stock at the close of business on the record date for the special meeting are entitled to receive notice of, and to vote at, the special meeting.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stock issuance proposal requires, in accordance with Section 713(b) of the NYSE American Company Guide, that the votes cast “FOR” the proposal exceed the votes cast “AGAINST” the proposal.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“AGAINST”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that the votes cast “FOR” the proposal exceed the votes cast “AGAINST” the proposal. The approval of the adjournment proposal is not a condition to the consummation of the merger.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for the special meeting consists of holders of at least 33⅓% of the outstanding shares of AIR common stock entitled to vote, present in person or represented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not asking our stockholders to approve the merger agreement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Your vote is very important. To ensure your representation at the special meeting of our stockholders, please complete and return the enclosed proxy card or submit your vote through the Internet or telephonically. Whether or not you plan to attend the meeting, we urge you to vote. </w:t>
      </w:r>
      <w:r>
        <w:rPr>
          <w:rFonts w:ascii="Times New Roman PS Std;serif" w:hAnsi="Times New Roman PS Std;serif"/>
          <w:b w:val="false"/>
          <w:i w:val="false"/>
          <w:caps w:val="false"/>
          <w:smallCaps w:val="false"/>
          <w:sz w:val="20"/>
        </w:rPr>
        <w:t>Registered stockholders may vote (i) via the Internet, (ii) by telephone, (iii) by returning a properly executed proxy card or (iv) in person at the special meeting. If your shares are held in the name of a bank, broker or other nominee, follow the instructions you receive from your nominee on how to vote your shares. Registered stockholders who attend the meeting may vote their shares personally even if they previously have voted their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need an admission ticket or proof of ownership of our common stock to enter the 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 2026, in addition to the proxy signed by the entity you are representing.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must also present a form of photo identification, such as a valid driver’s license or passport, in order to be admitted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regarding the accompanying proxy statement/prospectus, you may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w:t>
        <w:br/>
      </w:r>
      <w:r>
        <w:rPr>
          <w:rFonts w:ascii="Times New Roman PS Std;serif" w:hAnsi="Times New Roman PS Std;serif"/>
          <w:b w:val="false"/>
          <w:i/>
          <w:caps w:val="false"/>
          <w:smallCaps w:val="false"/>
          <w:sz w:val="20"/>
        </w:rPr>
        <w:t>Secretary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of Special Meeting of Stockholders and proxy statement/prospectus and form of proxy are first being mailed to AIR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REFERENCES TO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important business, financial and other information about AIR that is not included in or delivered with this document. You may obtain this information without charge through the website of the SEC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or upon your written or oral request by contacting Investor Relations at 1460 Fifth Avenue, Bay Shore, NY 11706, or by calling (631)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ensure timely delivery, any request should be made no later than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details about where you can find information about AIR, please see the section entitled “Where You Can Find More Information” beginning on page 177 of this proxy statement/prospectus.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the registration statement on Form S-4 filed with the SEC by AIR, constitutes a proxy statement of AIR under Section 14(a) of the Exchange Act. It also constitutes a notice of special meeting with respect to the special meeting at which AIR stockholders will be asked to consider and vote upon the stock issuance proposal, the authorized shares proposal, the written consent proposal, the transaction compensation proposal and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5, 2026, AIR filed a preliminary proxy statement with the SEC relating to the merger and containing certain of the information set forth in this proxy statement/prospectus. On July 2, 2026, AIR, Tenax and Merger Sub entered into the merger agreement, which amended and restated the original merger agreement to, among other things, require that AIR file a registration statement on Form S-4 with respect to the shares of AIR common stock to be issued to the Tenax Members as merger consideration. The purpose in including this requirement in the merger agreement was to facilitate the combined company’s satisfaction of the NYSE American listing requirement that the combined company have, as of the closing of the merger an aggregate market value of unrestricted publicly-held shares of at least $15 million. This proxy statement/prospectus sets forth additional information not contained in AIR’s previously filed preliminary proxy statement in order to reflect the terms of the amended and restated merger agreement and to satisfy the requirements of Form S-4.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provided all information contained in this proxy statement/prospectus relating to Tenax, and AIR has supplied all information contained in or incorporated by reference into this proxy statement/prospectus relating to AIR and Merger Sub.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into this proxy statement/prospectus. Tenax and AIR have not authorized anyone to provide you with information that is different from that contained in or incorporated by reference into this proxy statement/prospectus. This proxy statement/prospectus is dated [•], 2026, and you should not assume that the information contained in this proxy statement/prospectus is accurate as of any date other than such date. Further, you should not assume that the information incorporated by reference into this proxy statement/prospectus is accurate as of any date other than the date of the incorporated document.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or as the context otherwise requires, a reference in this proxy statement/prospectus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2025 Form 10-K” refers to AIR’s annual report on Form 10-K, filed with the SEC on March 27,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 10-Q” refers to AIR’s quarterly report on Form 10-Q, filed with the SEC on May 13,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adjournment proposal” refers to a proposal to adjourn the special meeting, if necessary or appropriate, including to solicit additional proxies, in the event that there are not sufficient votes at the time of the special meeting to approve the stock issuance proposal, the authorized shares proposal or the written consent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or “we” or “our” or “the Company” refers to Air Industries Group, a Nevada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Board” refers to the board of directors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common stock” refers to common stock of AIR, par value $0.001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RSU” refers to a restricted stock unit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Stockholder Support Agreement” refers to the AIR Stockholder Support Agreement, dated as of February 16, 2026, among Tenax and certain AIR Stockholders party thereto;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stockholders” refers to holders of shares of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 options” refers to options to purchase shares of AIR common stock granted pursuant to the AIR Stock Plans or otherwise;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 Plans” refers to the AIR 2022 Equity Incentive Plan, the AIR 2017 Equity Incentive Plan, the AIR 2016 Equity Incentive Plan and the AIR 2015 Equity Incentive Plan, each as amended or amended and restated from time to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Antitrust Laws” refers to the HSR Act and other applicable antitrust, competition or pre-merger notification laws of any jurisdiction;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authorized shares proposal” refers to the proposal to amend the articles of incorporation of AIR to increase the number of authorized shares of AIR common stock from 20,000,000 to 200,000,000;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day” refers to any day on which banks are not required or authorized to close in the City of New York;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refers to the closing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date” refers to the closing date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Code” refers to the Internal Revenue Code of 1986;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combined company” refers to AIR following the consummation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Share Price” refers to $3.05, subject to adjustment in accordance with the merger agreement ($15.25 after giving effect to the reverse stock split);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DLLCA” refers to the Limited Liability Company Act of the State of Delaware;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DOJ” refers to the U.S. Department of Justice;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EBITDA” refers to earnings before interest, taxes, depreciation and amortization;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 time” refers to the time the merger becomes effective pursuant to the terms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refers to the Securities Exchange Act of 1934, as amended;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FTC” refers to the United States Federal Trade Commission;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GAAP” refers to accounting principles generally accepted in the United States of America;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HSR Act” refers to the Hart-Scott-Rodino Antitrust Improvements Act of 1976, as amended;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IRS” refers to the United States Internal Revenue Service;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ISR” refers to intelligence, surveillance and reconnaissance;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Kipps” refers to KippsDeSanto &amp; Co., financial advisor to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refers to the merger of Merger Sub with and into Tenax, with Tenax surviving the merger as a wholly owned subsidiary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refers to the Amended and Restated Agreement and Plan of Merger, dated as of July 2, 2026, among Tenax, AIR and Merger Sub, a copy of which is attached as Annex A to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Sub” refers to Transitory Air Sub LLC, a Delaware limited liability company and wholly owned subsidiary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Named Executive Officers” refers to Scott Glassman (Acting Chief Executive Officer and President) and Luciano Melluzzo (Former President and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NEH” refers to NTC Equity Holdings, LLC;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NRS” refers to the Nevada Revised Statutes;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NTC Group” refers to The NTC Group,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NYSE American” refers to the NYSE American LLC;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original merger agreement” refers to that certain Agreement and Plan of Merger, dated as of February 16, 2026, by and among Tenax, AIR and Merger Sub (as amended by Amendment No. 1 to the Agreement and Plan of Merger, dated as of June 8,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Original Transactions” refers to transactions contemplated by the original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record date for the special meeting” refers to [•],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redemption rights agreement” refers to the redemption rights agreement between AIR and the Rights Agent;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registration rights agreement” refers to the registration rights agreement among AIR, the Tenax Members, the Tenax Warrantholders and NTC Group, as Investors’ Representative;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reverse stock split” refers to the reverse stock split, pursuant to NRS 78.207, of the issued and outstanding shares of AIR common stock at a ratio of one post-split share of AIR common stock for every five pre-split shares of AIR common stock, with any fractional share of AIR common stock otherwise resulting from the split rounded up to the nearest whole share (and a simultaneous and proportional reduction of the number of then authorized shares of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Rights Agent” refers to Broadridge Corporate Issuer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Run-Rate EBITDA” refers to a forward-looking metric that forecasts EBITDA over the next twelve months based on the terms of a company’s current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refers to the Securities Act of 1933, as amended;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special meeting” refers to the special meeting of AIR stockholders to be held on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issuance proposal” refers to the proposal to approve the issuance of AIR common stock as merger consideration pursuant to the terms of the merger agreement, in compliance with Section 713(b) of the NYSE American Company Guide, resulting in a change of control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refers to Tenax Aerospace Acquisition, LLC, a Delaware limited liability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LLCA” refers to the Second Amended and Restated Limited Liability Company Agreement of Tenax, dated as of January 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Member Support Agreement” refers to the Amended and Restated Tenax Member Support Agreement, dated as of July 2, 2026, among Tenax, AIR and NEH;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Members” refers to the holders of the membership interests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units” refers to each membership unit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Warrantholders” refers to AEAMF Aero Funding LLC, ACSF Aero Funding LLC, MMPDFII Aero Blocker, LLC and MetLife Middle Market Private Debt Fund II, LP;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day” refers to a day on which the principal national securities exchange on which shares of AIR common stock are listed or admitted to trading is open for the transaction of business or, if such shares of AIR common stock are not listed or admitted to trading on any national securities exchange, a business day;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 compensation proposal” refers to the proposal to approve an advisory resolution regarding the compensation that may be paid or become payable to our Named Executive Officers in connection with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 documents” refers to, collectively, the merger agreement, the AIR Stockholder Support Agreement, the Tenax Member Support Agreement, the Tenax Member lock-up agreements, the redemption rights agreement, the registration rights agreement, the certificate of merger and all other contracts delivered or required to be delivered by any party to the merger agreement at or prior to the closing pursuant to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refers to the transactions contemplated by the transaction documents, including the merger and the issuance of the redemption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refers to the United States of America;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written consent proposal” refers to the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QUESTIONS AND ANSWERS ABOUT THE MERGER AND 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Risks Relating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Risks Relating to AIR Following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Risks Relating to Tenax’s 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INFORMATION ABOUT THE SPECIAL MEETING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AIR Stockholders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10">
              <w:r>
                <w:rPr>
                  <w:rStyle w:val="InternetLink"/>
                  <w:rFonts w:ascii="Times New Roman PS Std;serif" w:hAnsi="Times New Roman PS Std;serif"/>
                  <w:b w:val="false"/>
                  <w:i w:val="false"/>
                  <w:caps w:val="false"/>
                  <w:smallCaps w:val="false"/>
                  <w:sz w:val="20"/>
                </w:rPr>
                <w:t xml:space="preserve">How to Vote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11">
              <w:r>
                <w:rPr>
                  <w:rStyle w:val="InternetLink"/>
                  <w:rFonts w:ascii="Times New Roman PS Std;serif" w:hAnsi="Times New Roman PS Std;serif"/>
                  <w:b w:val="false"/>
                  <w:i w:val="false"/>
                  <w:caps w:val="false"/>
                  <w:smallCaps w:val="false"/>
                  <w:sz w:val="20"/>
                </w:rPr>
                <w:t xml:space="preserve">Matters to Be Voted Upon and AIR Board Recommendation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12">
              <w:r>
                <w:rPr>
                  <w:rStyle w:val="InternetLink"/>
                  <w:rFonts w:ascii="Times New Roman PS Std;serif" w:hAnsi="Times New Roman PS Std;serif"/>
                  <w:b w:val="false"/>
                  <w:i w:val="false"/>
                  <w:caps w:val="false"/>
                  <w:smallCaps w:val="false"/>
                  <w:sz w:val="20"/>
                </w:rPr>
                <w:t xml:space="preserve">PROPOSAL 1 — APPROVAL OF THE STOCK ISSUANCE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 xml:space="preserve">PROPOSAL 2 — APPROVAL OF THE AUTHORIZED SHARES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 xml:space="preserve">PROPOSAL 3 — APPROVAL OF THE WRITTEN CONSENT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 xml:space="preserve">PROPOSAL 4 — APPROVAL OF THE TRANSACTION COMPENSATION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 xml:space="preserve">PROPOSAL 5 — APPROVAL OF THE ADJOURNMENT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PARTIES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19">
              <w:r>
                <w:rPr>
                  <w:rStyle w:val="InternetLink"/>
                  <w:rFonts w:ascii="Times New Roman PS Std;serif" w:hAnsi="Times New Roman PS Std;serif"/>
                  <w:b w:val="false"/>
                  <w:i w:val="false"/>
                  <w:caps w:val="false"/>
                  <w:smallCaps w:val="false"/>
                  <w:sz w:val="20"/>
                </w:rPr>
                <w:t xml:space="preserve">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20">
              <w:r>
                <w:rPr>
                  <w:rStyle w:val="InternetLink"/>
                  <w:rFonts w:ascii="Times New Roman PS Std;serif" w:hAnsi="Times New Roman PS Std;serif"/>
                  <w:b w:val="false"/>
                  <w:i w:val="false"/>
                  <w:caps w:val="false"/>
                  <w:smallCaps w:val="false"/>
                  <w:sz w:val="20"/>
                </w:rPr>
                <w:t xml:space="preserve">Merger Consideration; Adjustments to the Merger 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21">
              <w:r>
                <w:rPr>
                  <w:rStyle w:val="InternetLink"/>
                  <w:rFonts w:ascii="Times New Roman PS Std;serif" w:hAnsi="Times New Roman PS Std;serif"/>
                  <w:b w:val="false"/>
                  <w:i w:val="false"/>
                  <w:caps w:val="false"/>
                  <w:smallCaps w:val="false"/>
                  <w:sz w:val="20"/>
                </w:rPr>
                <w:t xml:space="preserve">Ownership of the Combined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22">
              <w:r>
                <w:rPr>
                  <w:rStyle w:val="InternetLink"/>
                  <w:rFonts w:ascii="Times New Roman PS Std;serif" w:hAnsi="Times New Roman PS Std;serif"/>
                  <w:b w:val="false"/>
                  <w:i w:val="false"/>
                  <w:caps w:val="false"/>
                  <w:smallCaps w:val="false"/>
                  <w:sz w:val="20"/>
                </w:rPr>
                <w:t xml:space="preserve">Redemption Rights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23">
              <w:r>
                <w:rPr>
                  <w:rStyle w:val="InternetLink"/>
                  <w:rFonts w:ascii="Times New Roman PS Std;serif" w:hAnsi="Times New Roman PS Std;serif"/>
                  <w:b w:val="false"/>
                  <w:i w:val="false"/>
                  <w:caps w:val="false"/>
                  <w:smallCaps w:val="false"/>
                  <w:sz w:val="20"/>
                </w:rPr>
                <w:t xml:space="preserve">Financing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 xml:space="preserve">Reverse Stock Split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 xml:space="preserve">Background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 xml:space="preserve">Recommendation of the AIR Board; AIR’s Reasons for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 xml:space="preserve">Interests of AIR’s Directors and Executive Officers in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 xml:space="preserve">Potential Payments to AIR’s Named Executive Officers Upon Completion of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 xml:space="preserve">Interests of Certain Participants in the Solicitation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 xml:space="preserve">Opinion of AIR’s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 xml:space="preserve">Certain Unaudited Prospective Financial Information Used by Our Board of Directors and Financial Advisor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 xml:space="preserve">Tenax’s Reasons for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 xml:space="preserve">Interests of Tenax’s Managers and Executive Officers in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 xml:space="preserve">Governance of AIR Following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35">
              <w:r>
                <w:rPr>
                  <w:rStyle w:val="InternetLink"/>
                  <w:rFonts w:ascii="Times New Roman PS Std;serif" w:hAnsi="Times New Roman PS Std;serif"/>
                  <w:b w:val="false"/>
                  <w:i w:val="false"/>
                  <w:caps w:val="false"/>
                  <w:smallCaps w:val="false"/>
                  <w:sz w:val="20"/>
                </w:rPr>
                <w:t xml:space="preserve">Closing and Effective Time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 xml:space="preserve">Regulatory Approvals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 xml:space="preserve">Accounting Treatment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 xml:space="preserve">Dividend Policy Following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 xml:space="preserve">Listing of the Combined Company Common Stock on NYSE American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40">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 xml:space="preserve">Explanatory Note Regarding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2">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 xml:space="preserve">Closing; Effective Time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 xml:space="preserve">Conversion of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 xml:space="preserve">Merger Consideration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6">
              <w:r>
                <w:rPr>
                  <w:rStyle w:val="InternetLink"/>
                  <w:rFonts w:ascii="Times New Roman PS Std;serif" w:hAnsi="Times New Roman PS Std;serif"/>
                  <w:b w:val="false"/>
                  <w:i w:val="false"/>
                  <w:caps w:val="false"/>
                  <w:smallCaps w:val="false"/>
                  <w:sz w:val="20"/>
                </w:rPr>
                <w:t xml:space="preserve">Exchange Procedures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7">
              <w:r>
                <w:rPr>
                  <w:rStyle w:val="InternetLink"/>
                  <w:rFonts w:ascii="Times New Roman PS Std;serif" w:hAnsi="Times New Roman PS Std;serif"/>
                  <w:b w:val="false"/>
                  <w:i w:val="false"/>
                  <w:caps w:val="false"/>
                  <w:smallCaps w:val="false"/>
                  <w:sz w:val="20"/>
                </w:rPr>
                <w:t xml:space="preserve">No Fractional Shares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8">
              <w:r>
                <w:rPr>
                  <w:rStyle w:val="InternetLink"/>
                  <w:rFonts w:ascii="Times New Roman PS Std;serif" w:hAnsi="Times New Roman PS Std;serif"/>
                  <w:b w:val="false"/>
                  <w:i w:val="false"/>
                  <w:caps w:val="false"/>
                  <w:smallCaps w:val="false"/>
                  <w:sz w:val="20"/>
                </w:rPr>
                <w:t xml:space="preserve">Repayment of Payoff Debt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9">
              <w:r>
                <w:rPr>
                  <w:rStyle w:val="InternetLink"/>
                  <w:rFonts w:ascii="Times New Roman PS Std;serif" w:hAnsi="Times New Roman PS Std;serif"/>
                  <w:b w:val="false"/>
                  <w:i w:val="false"/>
                  <w:caps w:val="false"/>
                  <w:smallCaps w:val="false"/>
                  <w:sz w:val="20"/>
                </w:rPr>
                <w:t xml:space="preserve">AIR Equity Awards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0">
              <w:r>
                <w:rPr>
                  <w:rStyle w:val="InternetLink"/>
                  <w:rFonts w:ascii="Times New Roman PS Std;serif" w:hAnsi="Times New Roman PS Std;serif"/>
                  <w:b w:val="false"/>
                  <w:i w:val="false"/>
                  <w:caps w:val="false"/>
                  <w:smallCaps w:val="false"/>
                  <w:sz w:val="20"/>
                </w:rPr>
                <w:t xml:space="preserve">Representations and Warranties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1">
              <w:r>
                <w:rPr>
                  <w:rStyle w:val="InternetLink"/>
                  <w:rFonts w:ascii="Times New Roman PS Std;serif" w:hAnsi="Times New Roman PS Std;serif"/>
                  <w:b w:val="false"/>
                  <w:i w:val="false"/>
                  <w:caps w:val="false"/>
                  <w:smallCaps w:val="false"/>
                  <w:sz w:val="20"/>
                </w:rPr>
                <w:t xml:space="preserve">Other Covenants and Agreements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2">
              <w:r>
                <w:rPr>
                  <w:rStyle w:val="InternetLink"/>
                  <w:rFonts w:ascii="Times New Roman PS Std;serif" w:hAnsi="Times New Roman PS Std;serif"/>
                  <w:b w:val="false"/>
                  <w:i w:val="false"/>
                  <w:caps w:val="false"/>
                  <w:smallCaps w:val="false"/>
                  <w:sz w:val="20"/>
                </w:rPr>
                <w:t xml:space="preserve">Conditions to Completion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3">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4">
              <w:r>
                <w:rPr>
                  <w:rStyle w:val="InternetLink"/>
                  <w:rFonts w:ascii="Times New Roman PS Std;serif" w:hAnsi="Times New Roman PS Std;serif"/>
                  <w:b w:val="false"/>
                  <w:i w:val="false"/>
                  <w:caps w:val="false"/>
                  <w:smallCaps w:val="false"/>
                  <w:sz w:val="20"/>
                </w:rPr>
                <w:t xml:space="preserve">Expenses and Termination Fees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5">
              <w:r>
                <w:rPr>
                  <w:rStyle w:val="InternetLink"/>
                  <w:rFonts w:ascii="Times New Roman PS Std;serif" w:hAnsi="Times New Roman PS Std;serif"/>
                  <w:b w:val="false"/>
                  <w:i w:val="false"/>
                  <w:caps w:val="false"/>
                  <w:smallCaps w:val="false"/>
                  <w:sz w:val="20"/>
                </w:rPr>
                <w:t xml:space="preserve">Amendments and Waivers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6">
              <w:r>
                <w:rPr>
                  <w:rStyle w:val="InternetLink"/>
                  <w:rFonts w:ascii="Times New Roman PS Std;serif" w:hAnsi="Times New Roman PS Std;serif"/>
                  <w:b w:val="false"/>
                  <w:i w:val="false"/>
                  <w:caps w:val="false"/>
                  <w:smallCaps w:val="false"/>
                  <w:sz w:val="20"/>
                </w:rPr>
                <w:t xml:space="preserve">No Third-Party Beneficiaries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7">
              <w:r>
                <w:rPr>
                  <w:rStyle w:val="InternetLink"/>
                  <w:rFonts w:ascii="Times New Roman PS Std;serif" w:hAnsi="Times New Roman PS Std;serif"/>
                  <w:b w:val="false"/>
                  <w:i w:val="false"/>
                  <w:caps w:val="false"/>
                  <w:smallCaps w:val="false"/>
                  <w:sz w:val="20"/>
                </w:rPr>
                <w:t xml:space="preserve">Specific Performance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8">
              <w:r>
                <w:rPr>
                  <w:rStyle w:val="InternetLink"/>
                  <w:rFonts w:ascii="Times New Roman PS Std;serif" w:hAnsi="Times New Roman PS Std;serif"/>
                  <w:b w:val="false"/>
                  <w:i w:val="false"/>
                  <w:caps w:val="false"/>
                  <w:smallCaps w:val="false"/>
                  <w:sz w:val="20"/>
                </w:rPr>
                <w:t xml:space="preserve">Governing Law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9">
              <w:r>
                <w:rPr>
                  <w:rStyle w:val="InternetLink"/>
                  <w:rFonts w:ascii="Times New Roman PS Std;serif" w:hAnsi="Times New Roman PS Std;serif"/>
                  <w:b w:val="false"/>
                  <w:i w:val="false"/>
                  <w:caps w:val="false"/>
                  <w:smallCaps w:val="false"/>
                  <w:sz w:val="20"/>
                </w:rPr>
                <w:t xml:space="preserve">Tax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0">
              <w:r>
                <w:rPr>
                  <w:rStyle w:val="InternetLink"/>
                  <w:rFonts w:ascii="Times New Roman PS Std;serif" w:hAnsi="Times New Roman PS Std;serif"/>
                  <w:b w:val="false"/>
                  <w:i w:val="false"/>
                  <w:caps w:val="false"/>
                  <w:smallCaps w:val="false"/>
                  <w:sz w:val="20"/>
                </w:rPr>
                <w:t xml:space="preserve">OTHER RELATED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1">
              <w:r>
                <w:rPr>
                  <w:rStyle w:val="InternetLink"/>
                  <w:rFonts w:ascii="Times New Roman PS Std;serif" w:hAnsi="Times New Roman PS Std;serif"/>
                  <w:b w:val="false"/>
                  <w:i w:val="false"/>
                  <w:caps w:val="false"/>
                  <w:smallCaps w:val="false"/>
                  <w:sz w:val="20"/>
                </w:rPr>
                <w:t xml:space="preserve">Redemption Rights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2">
              <w:r>
                <w:rPr>
                  <w:rStyle w:val="InternetLink"/>
                  <w:rFonts w:ascii="Times New Roman PS Std;serif" w:hAnsi="Times New Roman PS Std;serif"/>
                  <w:b w:val="false"/>
                  <w:i w:val="false"/>
                  <w:caps w:val="false"/>
                  <w:smallCaps w:val="false"/>
                  <w:sz w:val="20"/>
                </w:rPr>
                <w:t xml:space="preserve">Registration Rights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3">
              <w:r>
                <w:rPr>
                  <w:rStyle w:val="InternetLink"/>
                  <w:rFonts w:ascii="Times New Roman PS Std;serif" w:hAnsi="Times New Roman PS Std;serif"/>
                  <w:b w:val="false"/>
                  <w:i w:val="false"/>
                  <w:caps w:val="false"/>
                  <w:smallCaps w:val="false"/>
                  <w:sz w:val="20"/>
                </w:rPr>
                <w:t xml:space="preserve">AIR Stockholder Support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4">
              <w:r>
                <w:rPr>
                  <w:rStyle w:val="InternetLink"/>
                  <w:rFonts w:ascii="Times New Roman PS Std;serif" w:hAnsi="Times New Roman PS Std;serif"/>
                  <w:b w:val="false"/>
                  <w:i w:val="false"/>
                  <w:caps w:val="false"/>
                  <w:smallCaps w:val="false"/>
                  <w:sz w:val="20"/>
                </w:rPr>
                <w:t xml:space="preserve">Tenax Member Support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5">
              <w:r>
                <w:rPr>
                  <w:rStyle w:val="InternetLink"/>
                  <w:rFonts w:ascii="Times New Roman PS Std;serif" w:hAnsi="Times New Roman PS Std;serif"/>
                  <w:b w:val="false"/>
                  <w:i w:val="false"/>
                  <w:caps w:val="false"/>
                  <w:smallCaps w:val="false"/>
                  <w:sz w:val="20"/>
                </w:rPr>
                <w:t xml:space="preserve">Lock-Up Agreements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6">
              <w:r>
                <w:rPr>
                  <w:rStyle w:val="InternetLink"/>
                  <w:rFonts w:ascii="Times New Roman PS Std;serif" w:hAnsi="Times New Roman PS Std;serif"/>
                  <w:b w:val="false"/>
                  <w:i w:val="false"/>
                  <w:caps w:val="false"/>
                  <w:smallCaps w:val="false"/>
                  <w:sz w:val="20"/>
                </w:rPr>
                <w:t xml:space="preserve">MATERIAL U.S. FEDERAL INCOME TAX CONSEQUENCES OF THE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7">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8">
              <w:r>
                <w:rPr>
                  <w:rStyle w:val="InternetLink"/>
                  <w:rFonts w:ascii="Times New Roman PS Std;serif" w:hAnsi="Times New Roman PS Std;serif"/>
                  <w:b w:val="false"/>
                  <w:i w:val="false"/>
                  <w:caps w:val="false"/>
                  <w:smallCaps w:val="false"/>
                  <w:sz w:val="20"/>
                </w:rPr>
                <w:t xml:space="preserve">DESCRIPTION OF AIR 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9">
              <w:r>
                <w:rPr>
                  <w:rStyle w:val="InternetLink"/>
                  <w:rFonts w:ascii="Times New Roman PS Std;serif" w:hAnsi="Times New Roman PS Std;serif"/>
                  <w:b w:val="false"/>
                  <w:i w:val="false"/>
                  <w:caps w:val="false"/>
                  <w:smallCaps w:val="false"/>
                  <w:sz w:val="20"/>
                </w:rPr>
                <w:t xml:space="preserve">AIR 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0">
              <w:r>
                <w:rPr>
                  <w:rStyle w:val="InternetLink"/>
                  <w:rFonts w:ascii="Times New Roman PS Std;serif" w:hAnsi="Times New Roman PS Std;serif"/>
                  <w:b w:val="false"/>
                  <w:i w:val="false"/>
                  <w:caps w:val="false"/>
                  <w:smallCaps w:val="false"/>
                  <w:sz w:val="20"/>
                </w:rPr>
                <w:t xml:space="preserve">DESCRIPTION OF TENAX 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1">
              <w:r>
                <w:rPr>
                  <w:rStyle w:val="InternetLink"/>
                  <w:rFonts w:ascii="Times New Roman PS Std;serif" w:hAnsi="Times New Roman PS Std;serif"/>
                  <w:b w:val="false"/>
                  <w:i w:val="false"/>
                  <w:caps w:val="false"/>
                  <w:smallCaps w:val="false"/>
                  <w:sz w:val="20"/>
                </w:rPr>
                <w:t xml:space="preserve">TENAX 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2">
              <w:r>
                <w:rPr>
                  <w:rStyle w:val="InternetLink"/>
                  <w:rFonts w:ascii="Times New Roman PS Std;serif" w:hAnsi="Times New Roman PS Std;serif"/>
                  <w:b w:val="false"/>
                  <w:i w:val="false"/>
                  <w:caps w:val="false"/>
                  <w:smallCaps w:val="false"/>
                  <w:sz w:val="20"/>
                </w:rPr>
                <w:t xml:space="preserve">MATERIAL CONTRACTS BETWEEN AIR AND TENAX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3">
              <w:r>
                <w:rPr>
                  <w:rStyle w:val="InternetLink"/>
                  <w:rFonts w:ascii="Times New Roman PS Std;serif" w:hAnsi="Times New Roman PS Std;serif"/>
                  <w:b w:val="false"/>
                  <w:i w:val="false"/>
                  <w:caps w:val="false"/>
                  <w:smallCaps w:val="false"/>
                  <w:sz w:val="20"/>
                </w:rPr>
                <w:t xml:space="preserve">MANAGEMENT AND DIRECTORS OF THE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4">
              <w:r>
                <w:rPr>
                  <w:rStyle w:val="InternetLink"/>
                  <w:rFonts w:ascii="Times New Roman PS Std;serif" w:hAnsi="Times New Roman PS Std;serif"/>
                  <w:b w:val="false"/>
                  <w:i w:val="false"/>
                  <w:caps w:val="false"/>
                  <w:smallCaps w:val="false"/>
                  <w:sz w:val="20"/>
                </w:rPr>
                <w:t xml:space="preserve">EXECUTIVE OFFICER AND DIRECTOR COMPENSATION OF THE COMBINED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5">
              <w:r>
                <w:rPr>
                  <w:rStyle w:val="InternetLink"/>
                  <w:rFonts w:ascii="Times New Roman PS Std;serif" w:hAnsi="Times New Roman PS Std;serif"/>
                  <w:b w:val="false"/>
                  <w:i w:val="false"/>
                  <w:caps w:val="false"/>
                  <w:smallCaps w:val="false"/>
                  <w:sz w:val="20"/>
                </w:rPr>
                <w:t xml:space="preserve">CERTAIN RELATIONSHIPS AND RELATED PARTY TRANSACTIONS OF THE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6">
              <w:r>
                <w:rPr>
                  <w:rStyle w:val="InternetLink"/>
                  <w:rFonts w:ascii="Times New Roman PS Std;serif" w:hAnsi="Times New Roman PS Std;serif"/>
                  <w:b w:val="false"/>
                  <w:i w:val="false"/>
                  <w:caps w:val="false"/>
                  <w:smallCaps w:val="false"/>
                  <w:sz w:val="20"/>
                </w:rPr>
                <w:t xml:space="preserve">DESCRIPTION OF AIR CAPITAL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7">
              <w:r>
                <w:rPr>
                  <w:rStyle w:val="InternetLink"/>
                  <w:rFonts w:ascii="Times New Roman PS Std;serif" w:hAnsi="Times New Roman PS Std;serif"/>
                  <w:b w:val="false"/>
                  <w:i w:val="false"/>
                  <w:caps w:val="false"/>
                  <w:smallCaps w:val="false"/>
                  <w:sz w:val="20"/>
                </w:rPr>
                <w:t xml:space="preserve">MARKET PRICE AND DIVIDEND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8">
              <w:r>
                <w:rPr>
                  <w:rStyle w:val="InternetLink"/>
                  <w:rFonts w:ascii="Times New Roman PS Std;serif" w:hAnsi="Times New Roman PS Std;serif"/>
                  <w:b w:val="false"/>
                  <w:i w:val="false"/>
                  <w:caps w:val="false"/>
                  <w:smallCaps w:val="false"/>
                  <w:sz w:val="20"/>
                </w:rPr>
                <w:t xml:space="preserve">COMPARISON OF RIGHTS OF AIR STOCKHOLDERS AND TENAX MEMBERS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9">
              <w:r>
                <w:rPr>
                  <w:rStyle w:val="InternetLink"/>
                  <w:rFonts w:ascii="Times New Roman PS Std;serif" w:hAnsi="Times New Roman PS Std;serif"/>
                  <w:b w:val="false"/>
                  <w:i w:val="false"/>
                  <w:caps w:val="false"/>
                  <w:smallCaps w:val="false"/>
                  <w:sz w:val="20"/>
                </w:rPr>
                <w:t xml:space="preserve">PRINCIPAL HOLDERS OF AIR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
              <w:r>
                <w:rPr>
                  <w:rStyle w:val="InternetLink"/>
                  <w:rFonts w:ascii="Times New Roman PS Std;serif" w:hAnsi="Times New Roman PS Std;serif"/>
                  <w:b w:val="false"/>
                  <w:i w:val="false"/>
                  <w:caps w:val="false"/>
                  <w:smallCaps w:val="false"/>
                  <w:sz w:val="20"/>
                </w:rPr>
                <w:t xml:space="preserve">PRINCIPAL HOLDERS OF TENAX UNITS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1">
              <w:r>
                <w:rPr>
                  <w:rStyle w:val="InternetLink"/>
                  <w:rFonts w:ascii="Times New Roman PS Std;serif" w:hAnsi="Times New Roman PS Std;serif"/>
                  <w:b w:val="false"/>
                  <w:i w:val="false"/>
                  <w:caps w:val="false"/>
                  <w:smallCaps w:val="false"/>
                  <w:sz w:val="20"/>
                </w:rPr>
                <w:t xml:space="preserve">PRINCIPAL STOCKHOLDERS OF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2">
              <w:r>
                <w:rPr>
                  <w:rStyle w:val="InternetLink"/>
                  <w:rFonts w:ascii="Times New Roman PS Std;serif" w:hAnsi="Times New Roman PS Std;serif"/>
                  <w:b w:val="false"/>
                  <w:i w:val="false"/>
                  <w:caps w:val="false"/>
                  <w:smallCaps w:val="false"/>
                  <w:sz w:val="20"/>
                </w:rPr>
                <w:t xml:space="preserve">NO DISSENTER’S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3">
              <w:r>
                <w:rPr>
                  <w:rStyle w:val="InternetLink"/>
                  <w:rFonts w:ascii="Times New Roman PS Std;serif" w:hAnsi="Times New Roman PS Std;serif"/>
                  <w:b w:val="false"/>
                  <w:i w:val="false"/>
                  <w:caps w:val="false"/>
                  <w:smallCaps w:val="false"/>
                  <w:sz w:val="20"/>
                </w:rPr>
                <w:t xml:space="preserve">DELIVERY OF PROXY MATERIALS TO HOUSEHOLDS WITH MULTIPLE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4">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5">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6">
              <w:r>
                <w:rPr>
                  <w:rStyle w:val="InternetLink"/>
                  <w:rFonts w:ascii="Times New Roman PS Std;serif" w:hAnsi="Times New Roman PS Std;serif"/>
                  <w:b w:val="false"/>
                  <w:i w:val="false"/>
                  <w:caps w:val="false"/>
                  <w:smallCaps w:val="false"/>
                  <w:sz w:val="20"/>
                </w:rPr>
                <w:t xml:space="preserve">INDEPENDENT AUDITORS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7">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r>
      <w:tr>
        <w:trPr/>
        <w:tc>
          <w:tcPr>
            <w:tcW w:w="9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 I:</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998">
              <w:r>
                <w:rPr>
                  <w:rStyle w:val="InternetLink"/>
                  <w:rFonts w:ascii="Times New Roman PS Std;serif" w:hAnsi="Times New Roman PS Std;serif"/>
                  <w:b w:val="false"/>
                  <w:i w:val="false"/>
                  <w:caps w:val="false"/>
                  <w:smallCaps w:val="false"/>
                  <w:sz w:val="20"/>
                </w:rPr>
                <w:t xml:space="preserve">INDEX TO CONSOLIDATED FINANCIAL STATEMENTS OF AIR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999">
              <w:r>
                <w:rPr>
                  <w:rStyle w:val="InternetLink"/>
                  <w:rFonts w:ascii="Times New Roman PS Std;serif" w:hAnsi="Times New Roman PS Std;serif"/>
                  <w:b w:val="false"/>
                  <w:i w:val="false"/>
                  <w:caps w:val="false"/>
                  <w:smallCaps w:val="false"/>
                  <w:sz w:val="20"/>
                </w:rPr>
                <w:t xml:space="preserve">INDEX TO CONSOLIDATED FINANCIAL STATEMENTS OF TENAX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 xml:space="preserve">ANNEX A — Amended and Restated Agreement and Plan of Merger, dated as of July 2, 2026, by and among Tenax, AIR and Merger Sub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898">
              <w:r>
                <w:rPr>
                  <w:rStyle w:val="InternetLink"/>
                  <w:rFonts w:ascii="Times New Roman PS Std;serif" w:hAnsi="Times New Roman PS Std;serif"/>
                  <w:b w:val="false"/>
                  <w:i w:val="false"/>
                  <w:caps w:val="false"/>
                  <w:smallCaps w:val="false"/>
                  <w:sz w:val="20"/>
                </w:rPr>
                <w:t xml:space="preserve">ANNEX B — Opinion of KippsDeSanto &amp; Co.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 xml:space="preserve">ANNEX C — Form of Redemption Rights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 xml:space="preserve">ANNEX D — Form of Registration Rights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9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 xml:space="preserve">PART II: INFORMATION NOT REQUIRED IN PROSPECTUS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QUESTIONS AND ANSWERS ABOUT THE MERGER AND THE SPECIAL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questions and answers are intended to briefly address some commonly asked questions regarding the merger, the merger agreement and the special meeting. These questions and answers may not address all questions that may be important to you as our stockholder. Please refer to the section entitled “Summary” beginning on page 1 of this proxy statement/prospectus and the more detailed information contained elsewhere in this proxy statement/prospectus, the annexes to this proxy statement/prospectus and the information incorporated by reference into this proxy statement/prospectus, which you should read carefully and in their entirety. You may obtain the information incorporated by reference into this proxy statement/prospectus without charge by following the instructions under the section entitled “Where You Can Find More Information” beginning on page 177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 and proxy card?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entered into the merger agreement pursuant to which Merger Sub will be merged with and into Tenax, with Tenax surviving the merger as a wholly owned subsidiary of AIR, which will remain a publicly traded corporation listed on NYSE American under the symbol “AIRI”.</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we will issue or reserve for issuance, as applicable, shares of AIR common stock to the Tenax Members and the Tenax Warrantholders as merger consideration.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each as described in this proxy statement/prospectus) of AIR common stock to be issued to the Tenax Members and reserved for issuance to the Tenax Warrantholders upon the exercise of their warrants.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the Tenax Members are expected to own approximately 96% of our outstanding AIR common stock, while our existing stockholders are expected to own approximately 4% of our outstanding AIR common stock.</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Consummation of the merger is subject to approval by the AIR stockholders of the stock issuance proposal, the authorized shares proposal and the written consent proposal. We are holding the special meeting of our stockholders to ask our stockholders to consider and vote upon (i) the stock issuance proposal, (ii) the authorized shares proposal, (iii) the written consent proposal, (iv) the transaction compensation proposal and (v) the adjournment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delivered to you by mail as our stockholder of record, as of the record date for the special meeting, in connection with the solicitation by the AIR Board of proxies to be voted at the special meeting. As a stockholder of record on the record date for the special meeting, you are invited to attend the special meeting and are entitled to and are requested to vote on the items of business described in this proxy statement/prospectus. This proxy statement/prospectus includes important information about the merger, the merger agreement, a copy of which is attached as Annex A to this proxy statement/prospectus, and the special meeting. You should read this information carefully and in its entirety before making any voting decisions.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this proxy statement/prospectus relate to the preliminary proxy statement previously filed by AIR with the SEC relating to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On May 5, 2026, AIR filed a preliminary proxy statement with the SEC relating to the merger and containing certain of the information set forth in this proxy statement/prospectus. On July 2, 2026, AIR, Tenax and Merger Sub entered into the merger agreement, which amended and restated the original merger agreement to, among other things, require that AIR file a registration statement on Form S-4 with respect to the shares of AIR common stock to be issued to the Tenax Members as merger consideration. The purpose in including this requirement in the merger agreement was to facilitate the combined company’s satisfaction of the NYSE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American listing requirement that the combined company have an aggregate market value of unrestricted publicly-held shares of at least $15 million. This proxy statement/prospectus sets forth additional information not contained in AIR’s previously filed preliminary proxy statement in order to reflect the terms of the amended and restated merger agreement and to satisfy the requirements of Form S-4.</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items of business will be voted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items of business scheduled for the special meeting are: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1:    </w:t>
      </w:r>
      <w:r>
        <w:rPr>
          <w:rFonts w:ascii="Times New Roman PS Std;serif" w:hAnsi="Times New Roman PS Std;serif"/>
          <w:b w:val="false"/>
          <w:i w:val="false"/>
          <w:caps w:val="false"/>
          <w:smallCaps w:val="false"/>
          <w:sz w:val="20"/>
        </w:rPr>
        <w:t>The stock issuance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2:    </w:t>
      </w:r>
      <w:r>
        <w:rPr>
          <w:rFonts w:ascii="Times New Roman PS Std;serif" w:hAnsi="Times New Roman PS Std;serif"/>
          <w:b w:val="false"/>
          <w:i w:val="false"/>
          <w:caps w:val="false"/>
          <w:smallCaps w:val="false"/>
          <w:sz w:val="20"/>
        </w:rPr>
        <w:t>The authorized shares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3:    </w:t>
      </w:r>
      <w:r>
        <w:rPr>
          <w:rFonts w:ascii="Times New Roman PS Std;serif" w:hAnsi="Times New Roman PS Std;serif"/>
          <w:b w:val="false"/>
          <w:i w:val="false"/>
          <w:caps w:val="false"/>
          <w:smallCaps w:val="false"/>
          <w:sz w:val="20"/>
        </w:rPr>
        <w:t>The written consent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4:    </w:t>
      </w:r>
      <w:r>
        <w:rPr>
          <w:rFonts w:ascii="Times New Roman PS Std;serif" w:hAnsi="Times New Roman PS Std;serif"/>
          <w:b w:val="false"/>
          <w:i w:val="false"/>
          <w:caps w:val="false"/>
          <w:smallCaps w:val="false"/>
          <w:sz w:val="20"/>
        </w:rPr>
        <w:t>The transaction compensation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5: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AIR Board recommend that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AIR Board unanimously recommends a vote: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1.      FOR </w:t>
      </w:r>
      <w:r>
        <w:rPr>
          <w:rFonts w:ascii="Times New Roman PS Std;serif" w:hAnsi="Times New Roman PS Std;serif"/>
          <w:b w:val="false"/>
          <w:i w:val="false"/>
          <w:caps w:val="false"/>
          <w:smallCaps w:val="false"/>
          <w:sz w:val="20"/>
        </w:rPr>
        <w:t>the stock issuance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2.      FOR </w:t>
      </w:r>
      <w:r>
        <w:rPr>
          <w:rFonts w:ascii="Times New Roman PS Std;serif" w:hAnsi="Times New Roman PS Std;serif"/>
          <w:b w:val="false"/>
          <w:i w:val="false"/>
          <w:caps w:val="false"/>
          <w:smallCaps w:val="false"/>
          <w:sz w:val="20"/>
        </w:rPr>
        <w:t>the authorized shares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3.      FOR </w:t>
      </w:r>
      <w:r>
        <w:rPr>
          <w:rFonts w:ascii="Times New Roman PS Std;serif" w:hAnsi="Times New Roman PS Std;serif"/>
          <w:b w:val="false"/>
          <w:i w:val="false"/>
          <w:caps w:val="false"/>
          <w:smallCaps w:val="false"/>
          <w:sz w:val="20"/>
        </w:rPr>
        <w:t>the written consent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      FOR </w:t>
      </w:r>
      <w:r>
        <w:rPr>
          <w:rFonts w:ascii="Times New Roman PS Std;serif" w:hAnsi="Times New Roman PS Std;serif"/>
          <w:b w:val="false"/>
          <w:i w:val="false"/>
          <w:caps w:val="false"/>
          <w:smallCaps w:val="false"/>
          <w:sz w:val="20"/>
        </w:rPr>
        <w:t>the transaction compensation proposal;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5.      FOR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following voting requirements will be in effect for each proposal described in this proxy statement/prospectus: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1.    </w:t>
      </w:r>
      <w:r>
        <w:rPr>
          <w:rFonts w:ascii="Times New Roman PS Std;serif" w:hAnsi="Times New Roman PS Std;serif"/>
          <w:b w:val="false"/>
          <w:i w:val="false"/>
          <w:caps w:val="false"/>
          <w:smallCaps w:val="false"/>
          <w:sz w:val="20"/>
        </w:rPr>
        <w:t>Approval of the stock issuance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stock issuance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stock issuance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2.    </w:t>
      </w:r>
      <w:r>
        <w:rPr>
          <w:rFonts w:ascii="Times New Roman PS Std;serif" w:hAnsi="Times New Roman PS Std;serif"/>
          <w:b w:val="false"/>
          <w:i w:val="false"/>
          <w:caps w:val="false"/>
          <w:smallCaps w:val="false"/>
          <w:sz w:val="20"/>
        </w:rPr>
        <w:t>Approval of the authorized shares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authorized shares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authorized shares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3.    </w:t>
      </w:r>
      <w:r>
        <w:rPr>
          <w:rFonts w:ascii="Times New Roman PS Std;serif" w:hAnsi="Times New Roman PS Std;serif"/>
          <w:b w:val="false"/>
          <w:i w:val="false"/>
          <w:caps w:val="false"/>
          <w:smallCaps w:val="false"/>
          <w:sz w:val="20"/>
        </w:rPr>
        <w:t>Approval of the written consent proposal requires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this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4.    </w:t>
      </w:r>
      <w:r>
        <w:rPr>
          <w:rFonts w:ascii="Times New Roman PS Std;serif" w:hAnsi="Times New Roman PS Std;serif"/>
          <w:b w:val="false"/>
          <w:i w:val="false"/>
          <w:caps w:val="false"/>
          <w:smallCaps w:val="false"/>
          <w:sz w:val="20"/>
        </w:rPr>
        <w:t>Approval of the transaction compensation proposal (on a non-binding, advisory basis)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transaction compensation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transaction compensation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5.    </w:t>
      </w:r>
      <w:r>
        <w:rPr>
          <w:rFonts w:ascii="Times New Roman PS Std;serif" w:hAnsi="Times New Roman PS Std;serif"/>
          <w:b w:val="false"/>
          <w:i w:val="false"/>
          <w:caps w:val="false"/>
          <w:smallCaps w:val="false"/>
          <w:sz w:val="20"/>
        </w:rPr>
        <w:t>Approval of the adjournment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 Abstentions and broker non-votes will have no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my shares of AIR common stock, my AIR stock options and my AIR RSUs in connection with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Upon completion of the merger, your shares of AIR common stock will remain outstanding and will not be converted into or exchanged for any other securities or cash. Your AIR stock options and your AIR RSUs will also remain outstanding and will continue on the same terms and conditions as were applicable immediately prior to the effective time. As a result of the issuance of the merger consideration to the Tenax Members, however, the overall ownership percentage of current AIR stockholders will be diluted upon completion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I receive anything if the merger is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(a “</w:t>
      </w:r>
      <w:r>
        <w:rPr>
          <w:rFonts w:ascii="Times New Roman PS Std;serif" w:hAnsi="Times New Roman PS Std;serif"/>
          <w:b w:val="false"/>
          <w:i w:val="false"/>
          <w:caps w:val="false"/>
          <w:smallCaps w:val="false"/>
          <w:sz w:val="20"/>
          <w:u w:val="single"/>
        </w:rPr>
        <w:t>Redemption Right</w:t>
      </w:r>
      <w:r>
        <w:rPr>
          <w:rFonts w:ascii="Times New Roman PS Std;serif" w:hAnsi="Times New Roman PS Std;serif"/>
          <w:b w:val="false"/>
          <w:i w:val="false"/>
          <w:caps w:val="false"/>
          <w:smallCaps w:val="false"/>
          <w:sz w:val="20"/>
        </w:rPr>
        <w:t>”).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 — Redemption Rights Agreement” beginning on page 12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the capital structure of AIR be after the consummation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in each case subject to adjustment in accordance with the terms of the merger agreement. Following the merger, AIR will remain a publicly traded corporation, and shares of AIR common stock will continue to be listed on the NYSE American.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serve on the AIR Board following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accordance with the merger agreement and concurrent with the merger, the AIR Board will be reconstituted such that it is composed of no fewer than eight directors, which shall consist only of (a) no fewer than six individuals designated by Tenax, namely Thomas Foley, Taran Bakker, Michael Ewald, Donald Fawcett, Bryan Fenton, DeWolfe Miller and John Young, and (b) two individuals to be mutually agreed upon by Tenax and AIR, namely [•] and [•], to hold office in accordance with the articles of incorporation and bylaws of AIR. See the section entitled “The Merger — Governance of AIR Following the Merger” beginning on page 62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Am I entitled to exercise dissenter’s rights in connection with the Transactions?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Pursuant to the NRS, there are no dissenter’s rights available to the AIR stockholders in connection with the Transactions.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 the AIR directors or executive officers have interests in the merger that may differ from or be in addition to my interests as an AIR stockholder?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AIR’s directors and executive officers have certain interests in the merger that are different from, or in addition to, the interests of the AIR stockholders generally. The members of the AIR Board were aware of and considered these interests, among other matters, in evaluating, negotiating and approving the merger agreement and in determining to recommend that AIR stockholders approve the stock issuance proposal, the authorized shares proposal and the written consent proposal. See the section entitled “The Merger — Interests of AIR’s Directors and Executive Officers in the Merger” beginning on page 50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Transactions to the AIR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Q1:   Will I be taxed upon receipt of my Redemption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   The U.S. federal income tax consequences of your receipt of Redemption Rights is unclear. We intend to take the position that your receipt of the Redemption Rights constitutes an “open transaction”. Absent a change in law requiring otherwise after the date of the redemption rights agreement, we will not report the issuance of the Redemption Rights to you as a current distribution. This position may be challenged by the IRS, in which case you could be required to recognize taxable income in respect of your Redemption Rights without the corresponding receipt of cash. For a more complete description of the material U.S. federal income tax consequences of your receipt of Redemption Rights, including possible alternative tax treatments, see the section entitled “Material U.S. Federal Income Tax Consequences of the Transactions — Redemption Rights” beginning on page 90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Q2.   Will I be taxed as a result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   You will not recognize gain or loss for U.S. federal income tax purposes as a result of the merger and your holding period in your AIR common stock will remain unchanged.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is the merger expected to be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satisfaction or waiver of the closing conditions described under the section entitled “The Merger Agreement — Conditions to Completion of the Merger” beginning on page 80 of this proxy statement/prospectus, including the approval of the stock issuance proposal, the authorized shares proposal and the written consent proposal by our stockholders at the special meeting, we and Tenax currently expect that the merger will be completed in September 2026. However, it is possible that factors outside the control of both companies could result in the merger being completed at a different time or not at all.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deciding whether to vote for the stock issuance proposal, the authorized shares proposal and the written consent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risks described in the section entitled “Risk Factors” beginning on page 16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conditions to the completion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addition to approval by our stockholders of the stock issuance proposal, the authorized shares proposal and the written consent proposal as described above, completion of the merger is subject to the satisfaction or waiver of a number of other conditions, including, among others, the effectiveness of the registration statement on Form S-4 of which this proxy statement/prospectus forms a part, approval for the listing of the AIR common stock to be issued as merger consideration on the NYSE American, receipt of certain required regulatory approvals, the accuracy of representations and warranties in the merger agreement (subject to certain materiality exceptions, other customary exceptions and customary cure rights), the absence of a material adverse effect on Tenax or AIR and Tenax’s and AIR’s performance in all material respects of their respective obligations under the merger agreement. For a more complete summary of the conditions that must be satisfied or waived prior to completion of the merger, see the section entitled “The Merger Agreement — Conditions to Completion of the Merger” beginning on page 80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Is consummation of the merger contingent upon any future approval by the Tenax Members?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Concurrently with entering into the merger agreement, Tenax has obtained all approvals and consents of the Tenax Members necessary to effect the merger and the other Transactions. No further approvals by the Tenax Members are required to consummate the merger or the other Transactions other than those already obtained.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stock issuance proposal, the authorized shares proposal and the written consent proposal are not approved by our stockholders or if the merger is not completed for any other reason, the AIR and Tenax businesses will not be combined. Accordingly, the Tenax Members will not receive shares of AIR common stock and the AIR stockholders will not be entitled to receive or exercise the Redemption Rights. If the merger agreement is terminated, under specified circumstances, we may be required to pay Tenax a termination fee of $1.25 million, and, if the merger agreement is terminated in certain other specified circumstances, Tenax may be required to pay us a reverse termination fee of $1.25 million. See the section entitled “The Merger Agreement — Termination of the Merger Agreement; Termination Fees” beginning on page 81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transaction compensation proposal to approve, on a non-binding, advisory basis, the compensation that may be paid or become payable to AIR’s Named Executive Officers in connection with the merger is not approved?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Approval, on a non-binding, advisory basis, of the compensation that may be paid or become payable to AIR’s Named Executive Officers in connection with the merger is not a condition to consummation of the merger. The vote on the transaction compensation proposal is a non-binding, advisory vote. If the merger is completed, AIR may be obligated to pay all or a portion of this compensation to its Named Executive Officers in connection with the merger or certain terminations of employment following the merger, even if AIR stockholders fail to approve the transaction compensation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Does my vote matter?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The merger cannot be completed unless the stock issuance proposal, the authorized shares proposal and the written consent proposal are approved by our stockholders.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your vote depends on which proposal is being considered: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written consent proposal, if you fail to submit a proxy or vote in person at the special meeting, if your broker, bank or other nominee does not receive voting instructions from you, or if you vote to abstain, this will have the same effect as a vote “AGAINST” the proposal, because approval requires the affirmative vote of at least a majority of the voting power of all outstanding shares of AIR common stock entitled to vote as of the record date for the special meeting.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stock issuance proposal, the authorized shares proposal, the transaction compensation proposal and the adjournment proposal, a failure to vote, a broker non-vote or an abstention will have no effect on the outcome of the applicable vote, because approval requires only that the votes cast “FOR” exceed the votes cast “AGAINST,” and abstentions and broker non-votes are not counted as votes cast.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shares can I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AIR Board has fixed the close of business on [•], 2026, as the record date for the special meeting. Only holders of record of the outstanding shares of AIR common stock at the close of business on the record date for the special meeting are entitled to vote at the special meeting or any adjournments thereof.</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for the special meeting, we had [•] shares of AIR common stock issued and outstanding. A holder of shares of AIR common stock is entitled to one vote, in person or by proxy, for each share of AIR common stock on all matters properly brought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shares must be present or represented to conduct business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in person or by proxy, of the holders of 33⅓% in voting power of the outstanding shares of stock entitled to vote at the special meeting or any adjournment thereof is necessary to constitute a quorum to transact business. However, approval of the written consent proposal requires that the holders of at least a majority of the voting power of the outstanding shares of AIR common stock outstanding as of the record date for the special meeting vote in favor of the written consent proposal. Accordingly, approval of the written consent proposal will require the participation of a greater number of AIR stockholders than the minimum needed to establish a quorum.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(shares held by brokers, trustees or other nominees as to which they have no discretionary power to vote on a particular matter and have received no instructions from the beneficial owners of such shares or persons entitled to vote on the matter) will be counted as present at the special meeting for the purpose of determining whether a quorum is present. If your shares are held by a broker, trustee or other nominee on your behalf and you do not instruct the broker, trustee or other nominee as to how to vote these shares on Proposal 1 (the stock issuance proposal), Proposal 2 (the authorized shares proposal), Proposal 3 (the written consent proposal), Proposal 4 (the transaction compensation proposal) and Proposal 5 (the adjournment proposal), the broker, trustee or other nominee may not exercise discretion to vote for or against those proposals. This would be a “broker non-vote”. For Proposal 1 (the stock issuance proposal), Proposal 2 (the authorized shares proposal), Proposal 4 (the transaction compensation proposal) and Proposal 5 (the adjournment proposal), these shares will not be counted as having been voted and therefore will have no effect on the vote for that proposal, assuming a quorum is present. For Proposal 3 (the written consent proposal), a broker non-vote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such proposal. Please instruct your broker, trustee or other nominee so your vote can be counted.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vote my shares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held in your name as the stockholder of record may be voted in person at the special meeting. Shares for which you are the beneficial owner, but not the stockholder of record, may be voted in person at the special meeting only if you obtain a legal proxy from the broker, trustee or nominee that holds your shares giving you the right to vote the shares.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special meeting, we recommend that you also vote by proxy as described below so that your vote will be counted if you later decide not to attend the special meeting. Voting in person at the special meeting will revoke any previously submitted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vote my shares without attending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a stockholder as of the record date for the special meeting, you may cast your vote in one of the following ways: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Internet</w:t>
      </w:r>
      <w:r>
        <w:rPr>
          <w:rFonts w:ascii="Times New Roman PS Std;serif" w:hAnsi="Times New Roman PS Std;serif"/>
          <w:b w:val="false"/>
          <w:i w:val="false"/>
          <w:caps w:val="false"/>
          <w:smallCaps w:val="false"/>
          <w:sz w:val="20"/>
        </w:rPr>
        <w:t> — Stockholders who have received a proxy card or voting instruction form may vote over the Internet by visiting the website indicated and following the instructions on the proxy card or voting instruction form.</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Telephone</w:t>
      </w:r>
      <w:r>
        <w:rPr>
          <w:rFonts w:ascii="Times New Roman PS Std;serif" w:hAnsi="Times New Roman PS Std;serif"/>
          <w:b w:val="false"/>
          <w:i w:val="false"/>
          <w:caps w:val="false"/>
          <w:smallCaps w:val="false"/>
          <w:sz w:val="20"/>
        </w:rPr>
        <w:t> — Stockholders of record who live in the United States or Canada may submit proxies by telephone by calling 1-800-690-6903 and following the instructions. Stockholders of record who have received a proxy card by mail must have the control number that appears on their proxy card available when voting.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 Those stockholders should check the voting instruction form for telephone voting availability.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Mail</w:t>
      </w:r>
      <w:r>
        <w:rPr>
          <w:rFonts w:ascii="Times New Roman PS Std;serif" w:hAnsi="Times New Roman PS Std;serif"/>
          <w:b w:val="false"/>
          <w:i w:val="false"/>
          <w:caps w:val="false"/>
          <w:smallCaps w:val="false"/>
          <w:sz w:val="20"/>
        </w:rPr>
        <w:t> — Stockholders who have received a proxy card or voting instruction form may submit proxies by completing, signing and dating their proxy card or voting instruction form and mailing it in the accompanying pre-addressed envelope.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and will close at 11:59 P.M. (Eastern Time) on [•], 2026. Votes cast by mail must be received in sufficient time to allow processing. Shares represented by duly executed proxies in the accompanying proxy card or voting instruction form will be voted in accordance with the instructions indicated on such proxies or voting instruction forms and, if no such instructions are indicated thereon, will be voted (i)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issuance proposal, (ii)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authorized shares proposal, (iii)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written consent proposal, (iv)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transaction compensation proposal and (v)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if I want to change my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enclosed proxy card or voting instruction form is signed and returned, you may, nevertheless, revoke it at any time prior to the special meeting by (i) filing a written notice of revocation with the person or persons named on the proxy card or voting instruction form; (ii) attending the special meeting and voting the shares covered thereby in person; or (iii) delivering to the addressee named in the enclosed proxy card or voting instruction form another duly executed proxy card or voting instruction form dated subsequent to the date of the proxy card or voting instruction form to be revoked.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special meeting will be held at 1460 Fifth Avenue, Bay Shore, New York 11706 on [•], 2026, at [•] [A.M./P.M.], Eastern Time, or at any adjournments thereof, for the purposes stated in the Notice of Special Meeting of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I need a ticket to attend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If you plan to attend the special meeting in person:</w:t>
      </w:r>
      <w:r>
        <w:rPr>
          <w:rFonts w:ascii="Times New Roman PS Std;serif" w:hAnsi="Times New Roman PS Std;serif"/>
          <w:b w:val="false"/>
          <w:i w:val="false"/>
          <w:caps w:val="false"/>
          <w:smallCaps w:val="false"/>
          <w:sz w:val="20"/>
        </w:rPr>
        <w:t>    You will need an admission ticket or proof of ownership of our common stock to enter the 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 2026, in addition to the proxy signed by the entity you are representing.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must also present a form of photo identification, such as a valid driver’s license or passport, in order to be admitted to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copy of the proxy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receive more than one copy of the proxy materials, including multiple paper copies of this proxy statement/prospectus and multiple proxy cards or voting instruction forms.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if you hold your shares in more than one brokerage account, you may receive a separate voting instruction form for each brokerage account in which you hold shares. If you are a stockholder of record and your shares are registered in more than one name, you may receive more than one proxy card. If you hold your shares through a broker, trustee or another nominee, rather than owning shares registered directly in your name, you are considered the beneficial owner of shares held in street name. As the beneficial owner, you are entitled to direct the voting of your shares by your intermediary. Your intermediary will forward the proxy materials to you with a voting instruction form or provide electronic access to the materials and to voting facilities. To vote all of your shares by proxy, you must complete, sign, date and return each proxy card and voting instruction form that you receive.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How may I obtain a copy of AIR’s 2025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financial information?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Stockholders may request a free copy of our 2025 Form 10-K by writing to us at the following address: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br/>
        <w:t>Bay Shore, NY 11706</w:t>
        <w:br/>
        <w:t>Attn: Investor Relations</w:t>
        <w:br/>
        <w:t>Telephone: (631) 968-5000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Alternatively, stockholders can contact AIR’s proxy solicitor, Advantage Proxy, by calling toll-free at (877) 870-8565 or, for banks, brokerage firms and other nominees, collect at (206) 870-8565. In addition, stockholders may obtain free copies of the documents AIR files with the SEC by going to AIR’s Internet website at </w:t>
      </w:r>
      <w:r>
        <w:rPr>
          <w:rFonts w:ascii="Times New Roman PS Std;serif" w:hAnsi="Times New Roman PS Std;serif"/>
          <w:b w:val="false"/>
          <w:i/>
          <w:caps w:val="false"/>
          <w:smallCaps w:val="false"/>
          <w:sz w:val="20"/>
        </w:rPr>
        <w:t>www.investors.airindustriesgroup.com</w:t>
      </w:r>
      <w:r>
        <w:rPr>
          <w:rFonts w:ascii="Times New Roman PS Std;serif" w:hAnsi="Times New Roman PS Std;serif"/>
          <w:b w:val="false"/>
          <w:i w:val="false"/>
          <w:caps w:val="false"/>
          <w:smallCaps w:val="false"/>
          <w:sz w:val="20"/>
        </w:rPr>
        <w:t xml:space="preserve"> under the “Financials” heading and then under the “SEC Filings” link. The Internet website address of AIR is provided as an inactive textual reference only.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will furnish any exhibit to our 2025 Form 10-K if specifically requested. You may also obtain additional information about us from documents filed with the SEC by following the instructions in the section entitled “Where You Can Find More Information” beginning on page 177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help answer any other questions I have?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additional questions about the merger, need assistance in submitting your proxy or voting your shares of our common stock, or need additional copies of this proxy statement/prospectus or the enclosed proxy card, please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solicit and pay the cost of soliciting proxies?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engaged Advantage Proxy to assist in the solicitation of proxies for the special meeting. We estimate that we will pay Advantage Proxy a fee of $10,000 to $12,500 plus an additional nominal fee per incoming and outgoing telephone contact. We have agreed to reimburse Advantage Proxy for certain out-of-pocket fees and expenses and also will indemnify Advantage Proxy against certain losses, claims, damages, liabilities or expenses. We also may reimburse banks, brokerage firms, other nominees or their respective agents for their expenses in forwarding proxy materials to beneficial owners of our common stock. Our directors, officers and employees also may solicit proxies by telephone, by facsimile, by mail, on the Internet or in person. They will not be paid any additional amounts for soliciting proxies.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serve as inspector of elections?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elections will be a representative from Broadridge Corporate Issuer Solutions.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additional matters be presented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Business transacted at any special meeting of stockholders shall be limited to the purpose or purposes stated in the Notice of Special Meeting of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2"/>
      <w:bookmarkEnd w:id="2"/>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highlights selected information in this proxy statement/prospectus and may not contain all the information that may be important to you as our stockholder. Accordingly, we encourage you to read this entire proxy statement/prospectus, its annexes and the information incorporated by reference herein carefully. Each item in this summary includes a page reference directing you to a more complete description of that topic. You may obtain the information incorporated by reference into this proxy statement/prospectus without charge by following the instructions under the section entitled “Where You Can Find More Information” beginning on page 177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Parties to the Merger (page 37)</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Air Industries Group</w:t>
        <w:br/>
      </w:r>
      <w:r>
        <w:rPr>
          <w:rFonts w:ascii="Times New Roman PS Std;serif" w:hAnsi="Times New Roman PS Std;serif"/>
          <w:b w:val="false"/>
          <w:i w:val="false"/>
          <w:caps w:val="false"/>
          <w:smallCaps w:val="false"/>
          <w:sz w:val="20"/>
          <w:bdr w:val="single" w:sz="8" w:space="10" w:color="000000"/>
        </w:rPr>
        <w:t>1460 Fifth Avenue</w:t>
        <w:br/>
        <w:t>Bay Shore, NY 11706</w:t>
        <w:b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a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158 people.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common stock is listed on the NYSE American under the symbol “AIRI”.</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Tenax Aerospace Acquisition, LLC</w:t>
        <w:br/>
      </w:r>
      <w:r>
        <w:rPr>
          <w:rFonts w:ascii="Times New Roman PS Std;serif" w:hAnsi="Times New Roman PS Std;serif"/>
          <w:b w:val="false"/>
          <w:i w:val="false"/>
          <w:caps w:val="false"/>
          <w:smallCaps w:val="false"/>
          <w:sz w:val="20"/>
          <w:bdr w:val="single" w:sz="8" w:space="10" w:color="000000"/>
        </w:rPr>
        <w:t>400 West Parkway Place, Suite 201</w:t>
        <w:br/>
        <w:t>Ridgeland, MS 39157</w:t>
        <w:br/>
        <w:t>(601) 352-1107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 Founded in 2001, Tenax is privately owned and headquartered in Ridgeland, Mississippi. Tenax currently employs approximately 245 people.</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Transitory Air Sub LLC</w:t>
        <w:br/>
      </w:r>
      <w:r>
        <w:rPr>
          <w:rFonts w:ascii="Times New Roman PS Std;serif" w:hAnsi="Times New Roman PS Std;serif"/>
          <w:b w:val="false"/>
          <w:i w:val="false"/>
          <w:caps w:val="false"/>
          <w:smallCaps w:val="false"/>
          <w:sz w:val="20"/>
          <w:bdr w:val="single" w:sz="8" w:space="10" w:color="000000"/>
        </w:rPr>
        <w:t>1460 Fifth Avenue</w:t>
        <w:br/>
        <w:t>Bay Shore, NY 11706</w:t>
        <w:b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and conditions of the merger are contained in the merger agreement, which is included in this proxy statement/prospectus as Annex A and is incorporated herein by reference in its entirety. The rights and obligations of each of Tenax, AIR and Merger Sub are governed by the express terms and conditions of the merger agreement and not by this summary or any other information contained in this proxy statement/prospectus. Our stockholders are urged to read the merger agreement as well as this proxy statement/prospectus carefully and in their entirety before making any voting decisions, including the approval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at the effective time, Merger Sub will be merged with and into Tenax, with Tenax surviving the merger as a wholly owned subsidiary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Conversion of Securities; Adjustments to the Merger Consideration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Tenax units issued and outstanding immediately prior to the effective time will be converted into the right to receive the portion of the merger consideration allocated in respect thereof.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each as described in this proxy statement/prospectus) of AIR common stock to be issued to the Tenax Members and, as applicable, reserved for issuance to the Tenax Warrantholders upon the exercise of their warrants. The allocation of the merger consideration among the Tenax Members will be set forth in the capitalization schedule, which Tenax is required to deliver no less than two business days prior to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Ownership of AIR Following the Merger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Accordingly, the merger will result in substantial dilution to existing AIR stockholders, and the Tenax Members will have a controlling interest in AIR following completion of the merger. Following the merger, AIR will remain a publicly traded corporation, and shares of AIR common stock will continue to be listed on the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portion of the merger consideration is allocable to holders of warrants of Tenax, referred to as the Tenax Warrantholders. AIR will reserve for future issuance, upon exercise of the warrants, a number of shares of AIR common stock equal to the total merger consideration that would be payable to the Tenax Warrantholders if all Tenax Warrantholders exercised their warrants (if and to the extent they remain outstanding) immediately prior to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Governance of AIR Following the Merger (page 62)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the AIR Board will be composed of no fewer than eight directors, which shall consist only of (a) no fewer than six individuals designated by Tenax, namely Thomas Foley, Taran Bakker, Michael Ewald, Donald Fawcett, Bryan Fenton, DeWolfe Miller and John Young, and (b) two individuals to be mutually agreed upon by Tenax and AIR, namely [•] and [•],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Michael Ewald, Donald Fawcett, Bryan Fenton, DeWolfe Miller, John Young, [•] and [•] are expected to be “independent directors” within the meaning of Item 407(a)(1) and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the audit committee of the AIR Board (the “</w:t>
      </w:r>
      <w:r>
        <w:rPr>
          <w:rFonts w:ascii="Times New Roman PS Std;serif" w:hAnsi="Times New Roman PS Std;serif"/>
          <w:b w:val="false"/>
          <w:i w:val="false"/>
          <w:caps w:val="false"/>
          <w:smallCaps w:val="false"/>
          <w:sz w:val="20"/>
          <w:u w:val="single"/>
          <w:bdr w:val="single" w:sz="8" w:space="10" w:color="000000"/>
        </w:rPr>
        <w:t>Audit Committee</w:t>
      </w:r>
      <w:r>
        <w:rPr>
          <w:rFonts w:ascii="Times New Roman PS Std;serif" w:hAnsi="Times New Roman PS Std;serif"/>
          <w:b w:val="false"/>
          <w:i w:val="false"/>
          <w:caps w:val="false"/>
          <w:smallCaps w:val="false"/>
          <w:sz w:val="20"/>
          <w:bdr w:val="single" w:sz="8" w:space="10" w:color="000000"/>
        </w:rPr>
        <w:t>”)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“Management and Directors of the Combined Company” beginning on page 146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AIR’s executive team following the merger will draw on the leadership teams of AIR and Tenax. In particular, Jim Linder, Ignacio Ladegui and Alan Oswalt, current executive officers of Tenax, will become Chief Executive Officer, Chief Financial Officer and EVP of Operations, respectively,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and its members, through the date on which the merger agreement was signed by all parties, made no arrangements with, and made no offers to, any members of AIR’s management team regarding continued employment with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“Management and Directors of the Combined Company” beginning on page 146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AIR will be a “controlled company” for purposes of Section 801(a) of the NYSE American Company Guide and, if and for so long as it so qualifies, intends to rely on exemptions from certain governance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The controlled company exemption does not modify the independence requirements for the Audit Committee, and AIR intends to continue to comply with the requirements of the NYSE American rules with respect thereto.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Smaller Reporting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AIR Board; AIR’s Reasons for the Merger (page 48)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After careful consideration, the AIR Board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w:t>
      </w:r>
      <w:r>
        <w:rPr>
          <w:rFonts w:ascii="Times New Roman PS Std;serif" w:hAnsi="Times New Roman PS Std;serif"/>
          <w:b/>
          <w:i w:val="false"/>
          <w:caps w:val="false"/>
          <w:smallCaps w:val="false"/>
          <w:sz w:val="20"/>
          <w:bdr w:val="single" w:sz="8" w:space="10" w:color="000000"/>
        </w:rPr>
        <w:t xml:space="preserve">Accordingly, the AIR Board unanimously recommends that AIR’s stockholders vote “FOR” the stock issuance proposal, the authorized shares proposal, the written consent proposal, the transaction compensation proposal and the adjournment proposal. </w:t>
      </w:r>
      <w:r>
        <w:rPr>
          <w:rFonts w:ascii="Times New Roman PS Std;serif" w:hAnsi="Times New Roman PS Std;serif"/>
          <w:b w:val="false"/>
          <w:i w:val="false"/>
          <w:caps w:val="false"/>
          <w:smallCaps w:val="false"/>
          <w:sz w:val="20"/>
          <w:bdr w:val="single" w:sz="8" w:space="10" w:color="000000"/>
        </w:rPr>
        <w:t>For more information on AIR’s reasons for the merger and the recommendation of the AIR Board, see the section entitled “The Merger — Recommendation of the AIR Board; AIR’s Reasons for the Merger” beginning on page 48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AIR’s Financial Advisor (page 53)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retained Kipps to act as its financial advisor in connection with the Transactions. As part of this engagement, the AIR Board requested that Kipps evaluate the fairness to the holders of the AIR common stock, from a financial point of view, of the unadjusted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stockholders should be aware that Kipps’s written opinion was based on an assumed unadjusted redemption price of $4.18 per share, which was calculated at the direction of AIR’s management based on a formula set forth in the original merger agreement. The actual redemption price will be materially lower than the price per share on which Kipps rendered its fairness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statement/prospectus in its entirety. The summary of the opinion of Kipps in this proxy statement/prospectus is qualified in its entirety by reference to the full text of the written opinion. You are urged to read Kipps’s opinion carefully and in its entirety. Kipps’s opinion was addressed to, and provided for the information and benefit of, the AIR Board (in its capacity as such) in connection with its evaluation of the Original Transactions. The opinion does not constitute a recommendation to the AIR Board or to any other persons in respect of the Original Transactions or the Transactions, including as to how any holder of shares of AIR common stock should vote or act in respect of the Original Transactions or the Transactions. Kipps’s opinion does not address the relative merits of the Original Transactions or the Transactions as compared to other business or financial strategies that might be available to AIR, nor does it address the underlying business decision of AIR to engage in the Original Transactions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Opinion of AIR’s Financial Advisor” beginning on page 53 of this proxy statement/prospectus and the full text of the written opinion of Kipps attached as Annex B to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Tenax’s Reasons for the Merger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the merger and the other Transactions, the Tenax Board, in consultation with Tenax’s management and advisors, considered a number of factors weighing both in favor of and against the merger and approved the merger agreement and the Transactions. In particular, the Tenax Board believed the merger would combine Tenax with an established, publicly traded aerospace and defense company to create a platform with broader capabilities, customer relationships and growth opportunities than Tenax would have on a stand-alone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Tenax’s Reasons for the Merger” beginning on page 61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Information About the Special Meeting (page 34)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special meeting will be held on [•], 2026, at [•] [A.M./P.M.], Eastern Time, at 1460 Fifth Avenue, Bay Shore, New York 11706. The special meeting is being held in order to vote on the stock issuance proposal, the authorized shares proposal, the written consent proposal, the transaction compensation proposal and the adjournment proposal. The merger cannot be completed unless the stock issuance proposal, the authorized shares proposal and the written consent proposal are approved by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voting requirements will be in effect for each proposal described in this proxy statement/prospectus: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stock issuance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stock issuance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stock issuance proposal. Abstentions and broker non-votes will have no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authorized shares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authorized shares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authorized shares proposal. Abstentions and broker non-votes will have no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written consent proposal requires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this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transaction compensation proposal (on a non-binding, advisory basis)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transaction compensation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transaction compensation proposal. Abstentions and broker non-votes will have no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adjournment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adjournment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adjournment proposal. Abstentions and broker non-votes will have no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AIR Board has fixed the close of business on [•], 2026, as the record date for the special meeting. Only holders of record of the outstanding shares of AIR common stock at the close of business on the record date for the special meeting are entitled to vote at the special meeting or any adjournments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for the special meeting, we had [•] shares of AIR common stock issued and outstanding. A holder of shares of AIR common stock is entitled to one vote, in person or by proxy, for each share of AIR common stock on all matters properly brought before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AIR’s Directors and Executive Officers in the Merger (page 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AIR Board, AIR stockholders should be aware that certain directors and executive officers of AIR have interests in the Transactions that may be different from, or in addition to, the interests they may have as stockholders. Specifically, Michael Taglich and Robert Taglich, directors of AIR, hold subordinated notes, which will be repaid at closing pursuant to the merger agreement. In addition, AIR RSUs and AIR stock option awards (collectively, “</w:t>
      </w:r>
      <w:r>
        <w:rPr>
          <w:rFonts w:ascii="Times New Roman PS Std;serif" w:hAnsi="Times New Roman PS Std;serif"/>
          <w:b w:val="false"/>
          <w:i w:val="false"/>
          <w:caps w:val="false"/>
          <w:smallCaps w:val="false"/>
          <w:sz w:val="20"/>
          <w:u w:val="single"/>
          <w:bdr w:val="single" w:sz="8" w:space="10" w:color="000000"/>
        </w:rPr>
        <w:t>AIR Equity Awards</w:t>
      </w:r>
      <w:r>
        <w:rPr>
          <w:rFonts w:ascii="Times New Roman PS Std;serif" w:hAnsi="Times New Roman PS Std;serif"/>
          <w:b w:val="false"/>
          <w:i w:val="false"/>
          <w:caps w:val="false"/>
          <w:smallCaps w:val="false"/>
          <w:sz w:val="20"/>
          <w:bdr w:val="single" w:sz="8" w:space="10" w:color="000000"/>
        </w:rPr>
        <w:t>”) issued under the AIR Stock Plans and associated award agreements will continue on the same terms and conditions, and will be eligible for accelerated vesting upon a termination without “cause” within two years following the effective time. Pursuant to the terms of the applicable award agreements, certain holders may also be entitled to additional time in which to exercise any stock options if their engagement by AIR is terminated under prescribed circumstances. As of July 10, 2026, AIR’s directors and executive officers beneficially owned, in the aggregate, approximately 28.44% of the shares of AIR common stock, including shares of AIR common stock issuable upon exercise or settlement of AIR Equity Awards. All directors and executive officers of AIR have entered into a support agreement in connection with the merger to vote all shares of AIR common stock owned by them as of the record date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members of the AIR Board were aware of and considered the interests discussed in the preceding paragraph, among other matters, in evaluating and negotiating the merger agreement, in approving the merger agreement and in determining to recommend that stockholders approve the stock issuance proposal, the authorized shares proposal and the written consent proposal. For more information, see the section entitled “The Merger — Interests of AIR’s Directors and Executive Officers in the Merger” beginning on page 50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Certain Participants in the Solicitation (page 53)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directors and executive officers may solicit proxies by telephone or otherwise in respect of the proposals to be considered at the special meeting and may be deemed to be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as more fully described under “The Merger — Interests of AIR’s Directors and Executive Officers in the Merger” beginning on page 50 of this proxy statement/prospectus. In addition, AIR’s directors and executive officers will benefit from the indemnification and insurance arrangements described under “The Merger Agreement — Directors’ and Officers’ Indemnification and Insurance” beginning on page 77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Interests of Certain Participants in the Solicitation” beginning on page 53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Tenax’s Managers and Executive Officers in the Merger (page 62)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Certain members of the Tenax Board and certain of Tenax’s executive officers have interests in the merger that are different from, or in addition to, the interests of Tenax Members generally.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Thomas Foley and Taran Bakker are currently members of the Tenax Board and are expected to become directors of the combined company upon the closing of the merger. Jim Linder, Ignacio Ladegui and Alan Oswalt are currently executive officers of Tenax and are expected to become executive officers of the combined company, in connection with which they may enter into new employment agreements to reflect their status as executive officers of a publicly-traded company. Following completion of the merger, it is expected that the combined company will provide compensation to non-employee directors pursuant to a new non-employee director compensation policy that is expected to be adopted post-closing.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June 30, 2026, Tenax’s then-current non-employee managers and executive officers beneficially owned (indirectly through membership interests in NEH and Managers Equity, LLC), in the aggregate, approximately 78% of the Tenax units. Such Tenax units will be converted into shares of AIR common stock at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Interests of Tenax’s Managers and Executive Officers in the Merger” beginning on page 62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 (page 64)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15, 2026, Thomas Foley filed a notification and report form pursuant to the HSR Act with the FTC and the DOJ with respect to his proposed acquisition of AIR common stock in connection with the merger. The applicable waiting period expired on June 15,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can be no assurance that a challenge to the Transactions on antitrust grounds will not be made or, if such a challenge is made, what the result will be. The required regulatory and other approvals are discussed under the section entitled “The Merger Agreement — Covenants and Agreements — Reasonable Best Efforts; Further Action” beginning on page 78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by AIR (page 73)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that neither AIR nor any of its subsidiaries nor any of their respective representatives will, and that AIR will cause its subsidiaries and their respective representatives not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seek or take any other action to facilitate or encourage the making, submission or announcement of any proposal that constitutes, or could reasonably be expected to lead to any Competing AIR Proposal (as defined under “The Merger Agreement — Covenants and Agreements — No Solicitation by AIR”);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maintain, continue or participate in any discussions or negotiations with any person or entity in furtherance of, or furnish to any person any information or otherwise cooperate in any way with respect to, any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agree to, approve, endorse, recommend or consummate any Competing AIR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propose to enter into, any contract or agreement which could reasonably be expected to lead to any Competing AIR Proposal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required to promptly (and in any event within 24 hours of receipt) advise Tenax orally and in writing of any Competing AIR Proposal or any inquiry relating to or that could reasonably be expected to lead to any Competing AIR Proposal, including the material terms and conditions of any such Competing AIR Proposal or inquiry and the identity of the person making any such Competing AIR Proposal or inquiry, to keep Tenax reasonably informed of the status and material details of any such Competing AIR Proposal or inquiry and provide Tenax, as soon as practicable after receipt or delivery thereof (and in any event within 24 hours of such receipt or delivery), copies of all correspondence and other written material versions of agreements relating to any such Competing AIR Proposal exchanged between AIR or any of its subsidiaries, on the one hand, and the person making the Competing AIR Proposal or inquiry (or its representatives),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above, AIR may, subject to compliance with the terms of the merger agreement, furnish information to, and enter into discussions with, a person who has made, after February 16, 2026, an unsolicited, written, bona fide Competing AIR Proposal, so long as such Competing AIR Proposal did not result from a breach of the merger agreement and prior to furnishing such information and entering into such discussions, the AIR Board: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could reasonably be expected to lead to, a Superior Proposal (as defined under “The Merger Agreement — Covenants and Agreements — No Solicitation by AIR”) and the failure to furnish such information to, or enter into such discussions with, the person who made such Competing AIR Proposal would violate the AIR Board’s fiduciary duties under the NRS;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provides such information to Tenax (or provides such information to Tenax substantially concurrent with the time it is provided to such person);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obtains from such person a confidentiality agreement that contains terms no less favorable to AIR than those contained in the existing confidentiality agreement between AIR and Tenax.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Change in the AIR Recommendation (page 74)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AIR Board has recommended that the AIR stockholders vote in favor of approving the stock issuance proposal, the authorized shares proposal and the written consent proposal (the “</w:t>
      </w:r>
      <w:r>
        <w:rPr>
          <w:rFonts w:ascii="Times New Roman PS Std;serif" w:hAnsi="Times New Roman PS Std;serif"/>
          <w:b w:val="false"/>
          <w:i w:val="false"/>
          <w:caps w:val="false"/>
          <w:smallCaps w:val="false"/>
          <w:sz w:val="20"/>
          <w:u w:val="single"/>
          <w:bdr w:val="single" w:sz="8" w:space="10" w:color="000000"/>
        </w:rPr>
        <w:t>AIR Recommendation</w:t>
      </w:r>
      <w:r>
        <w:rPr>
          <w:rFonts w:ascii="Times New Roman PS Std;serif" w:hAnsi="Times New Roman PS Std;serif"/>
          <w:b w:val="false"/>
          <w:i w:val="false"/>
          <w:caps w:val="false"/>
          <w:smallCaps w:val="false"/>
          <w:sz w:val="20"/>
          <w:bdr w:val="single" w:sz="8" w:space="10" w:color="000000"/>
        </w:rPr>
        <w:t>”). The merger agreement provides that, subject to the exceptions described below, neither the AIR Board nor any committee thereof may make a Change in the AIR Recommendation (as defined under “The Merger Agreement — Covenants and Agreements — Change in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Notwithstanding the foregoing, prior to the receipt of the requisite AIR stockholder approvals, the AIR Board may make a Change in the AIR Recommendation if, in response to the receipt of an unsolicited, written, bona fide Competing AIR Proposal received after February 16, 2026 or the occurrence of an Intervening Event (as defined under “The Merger Agreement — Covenants and Agreements — Change in the AIR Recommendation”),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however</w:t>
      </w:r>
      <w:r>
        <w:rPr>
          <w:rFonts w:ascii="Times New Roman PS Std;serif" w:hAnsi="Times New Roman PS Std;serif"/>
          <w:b w:val="false"/>
          <w:i w:val="false"/>
          <w:caps w:val="false"/>
          <w:smallCaps w:val="false"/>
          <w:sz w:val="20"/>
          <w:bdr w:val="single" w:sz="8" w:space="10" w:color="000000"/>
        </w:rPr>
        <w:t>, that no such action may be taken unless: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AIR Board is making a Change in the AIR Recommendation relating to a Competing AIR Proposal, such Competing AIR Proposal is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provides a period of five business days following Tenax’s receipt of such notice during which AIR will negotiate in good faith with Tenax regarding any revisions to the terms of the merger agreement proposed by Tenax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any material change regarding such Intervening Event, or any amendments to the financial terms or any other material term of such Superior Proposal will require a new notice period of three business days);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by Tenax (page 76)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that neither Tenax nor any of its subsidiaries nor any of their respective representatives will, and that Tenax will cause its subsidiaries and their respective representatives not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seek or take any other action to facilitate or encourage the making, submission or announcement of any proposal that constitutes, or could reasonably be expected to lead to any Competing Tenax Proposal (as defined under “The Merger Agreement — Covenants and Agreements — No Solicitation by Tenax”);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maintain, continue or participate in any discussions or negotiations with any person or entity in furtherance of, or furnish to any person any information or otherwise cooperate in any way with respect to, any Competing Tenax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agree to, approve, endorse, recommend or consummate any Competing Tenax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propose to enter into, any contract or agreement which could reasonably be expected to lead to any Competing Tenax Proposal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is required to promptly (and in any event within 24 hours of receipt) advise AIR orally and in writing of any Competing Tenax Proposal or any inquiry relating to or that could reasonably be expected to lead to any Competing Tenax Proposal, including the material terms and conditions of any such Competing Tenax Proposal or inquiry and the identity of the person making any such Competing Tenax Proposal or inquiry, to keep AIR reasonably informed of the status and material details of any such Competing Tenax Proposal or inquiry and provide AIR, as soon as practicable after receipt or delivery thereof (and in any event within 24 hours of such receipt or delivery), copies of all correspondence and other written material versions of agreements relating to any such Competing Tenax Proposal exchanged between Tenax or any of its subsidiaries, on the one hand, and the person making the Competing Tenax Proposal or inquiry (or its representatives),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above, Tenax may, subject to compliance with the terms of the merger agreement, furnish information to, and enter into discussions with, a person who has made, after February 16, 2026, an unsolicited, written, bona fide Competing Tenax Proposal, so long as such Competing Tenax Proposal did not result from a breach of the merger agreement and prior to furnishing such information and entering into such discussions, the board of managers of Tenax (the “</w:t>
      </w:r>
      <w:r>
        <w:rPr>
          <w:rFonts w:ascii="Times New Roman PS Std;serif" w:hAnsi="Times New Roman PS Std;serif"/>
          <w:b w:val="false"/>
          <w:i w:val="false"/>
          <w:caps w:val="false"/>
          <w:smallCaps w:val="false"/>
          <w:sz w:val="20"/>
          <w:u w:val="single"/>
          <w:bdr w:val="single" w:sz="8" w:space="10" w:color="000000"/>
        </w:rPr>
        <w:t>Tenax Board</w:t>
      </w:r>
      <w:r>
        <w:rPr>
          <w:rFonts w:ascii="Times New Roman PS Std;serif" w:hAnsi="Times New Roman PS Std;serif"/>
          <w:b w:val="false"/>
          <w:i w:val="false"/>
          <w:caps w:val="false"/>
          <w:smallCaps w:val="false"/>
          <w:sz w:val="20"/>
          <w:bdr w:val="single" w:sz="8" w:space="10" w:color="000000"/>
        </w:rPr>
        <w:t>”) obtains from such person a confidentiality agreement that contains terms no less favorable to Tenax than those contained in the existing confidentiality agreement between AIR and Tenax.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 (page 80)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more fully described in this proxy statement/prospectus and in the merger agreement, the respective obligations of each party to consummate the merger are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effectiveness of the registration statement of which this proxy statement/prospectus forms a part, the absence of any stop order suspending that effectiveness issued by the SEC and the absence of any proceeding for that purpose pending before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approvals for the stock issuance proposal, the authorized shares proposal and the written consent proposal, in accordance with the NRS and AIR’s articles of incorporation and bylaws;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law or order (a “Restraint”) enacted, issued, promulgated, enforced or entered, whether temporary, preliminary or permanent, which is then in effect and has the effect of enjoining, restraining, prohibiting or otherwise preventing the consummation of the Transactions;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authorization for listing on the NYSE American of the shares of AIR common stock issuable to the Tenax Members in connection with the merger, subject to official notice of issuance;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approval of the merger by the holders of a majority in voting power of the issued and outstanding membership units of Tenax, which approval was obtained by the execution of the Tenax Member Support Agreement. Accordingly, this condition has been satisfied, and no meeting of the Tenax Members will be held. See the section entitled “Other Related Agreements — Tenax Member Support Agreement” beginning on page 87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Tenax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made in the merger agreement by AIR and Merger Sub as of February 16, 2026 and as of the closing date, subject to certain materiality thresholds;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performance or compliance in all material respects by AIR and Merger Sub with the agreements and covenants required by the merger agreement to be performed or complied with by them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Tenax of a certificate, dated the closing date, signed by the Chief Executive Officer or Chief Financial Officer of AIR, certifying that the conditions in the preceding two bullet points are satisfied;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February 16, 2026 through the closing date, of any event, occurrence, state of facts, development, circumstance, change or effect that, individually or in the aggregate, has had or would have been reasonably expected to have an AIR Material Adverse Effect (as defined under “The Merger Agreement — Representations and Warranties”);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pending action by any governmental authority and the absence of any order or injunction by any governmental authority of competent jurisdiction which imposes or seeks to impose any limitations or restrictions on Tenax and its subsidiaries;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effectiveness at the effective time of the AIR Stockholder Support Agreement, pursuant to which such stockholders agreed to vote their shares of AIR common stock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AIR and Merger Sub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made in the merger agreement by Tenax as of February 16, 2026 and as of the closing date, subject to certain materiality thresholds;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performance or compliance in all material respects by Tenax with the agreements and covenants required by the merger agreement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February 16, 2026 through the closing date, of any event, occurrence, state of facts, development, circumstance, change or effect that, individually or in the aggregate, has had or would have been reasonably expected to have a Tenax Material Adverse Effect (as defined under “The Merger Agreement — Representations and Warranties”);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AIR of a certificate, dated the closing date, signed by the President or Chief Financial Officer of Tenax, certifying that the conditions in the preceding two bullet points are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 (page 81)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and the Transactions may be abandoned at any time before the effective time as follows: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Tenax and AIR, duly authorized by the Tenax Board and the AIR Board, respectively;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following a meeting of the AIR stockholders at which the AIR stockholders fail to approve the stock issuance proposal, the authorized shares proposal and the written consent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if any Restraint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if the effective time has not occurred on or before the Outside Date (as defined under “The Merger Agreement — Termination of the Merger Agreement”)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AIR stockholder party to the AIR Stockholder Support Agreement (the “Key AIR Stockholders”) has materially breached its obligations under the AIR Stockholder Support Agreement and such breach has been a material cause of, or resulted in, the failure of the effective time to occur on or before such time; or (iii) Tenax if any Tenax Member has materially breached its obligations under the Tenax Member Support Agreement and such breach has been a material cause of, or resulted in, the failure of the effective time to occur on or before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Tenax will not have the right to terminate the merger agreement pursuant to this bullet point if Tenax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Tenax, if a Change in the AIR Recommendation shall have occurred;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AIR will not have the right to terminate the merger agreement pursuant to this bullet point if AIR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to accept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AIR if the Tenax Members party to the Tenax Member Support Agreement fail to duly execute and deliver, or cause to be delivered, to AIR the Tenax Member Support Agreement within 72 hours following the execution and delivery of the merger agreement. The requisite Tenax Members have each delivered to AIR the Tenax Member Support Agreement within 72 hours following the execution and delivery of the merger agreement.</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Expenses and Termination Fees (page 82)</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expenses incurred in connection with the merger agreement and the Transactions will be paid by the party incurring such expenses, whether or not the merger or any other Transaction is consummated, except that expenses constituting the out-of-pocket cost of filing fees, printing and mailing of this proxy statement/prospectus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Termination Fees and Expense Reimbursement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AIR to pay Tenax an amount equal to $1,250,000 (the “</w:t>
      </w:r>
      <w:r>
        <w:rPr>
          <w:rFonts w:ascii="Times New Roman PS Std;serif" w:hAnsi="Times New Roman PS Std;serif"/>
          <w:b w:val="false"/>
          <w:i w:val="false"/>
          <w:caps w:val="false"/>
          <w:smallCaps w:val="false"/>
          <w:sz w:val="20"/>
          <w:u w:val="single"/>
          <w:bdr w:val="single" w:sz="8" w:space="10" w:color="000000"/>
        </w:rPr>
        <w:t>AIR Termination Fee</w:t>
      </w:r>
      <w:r>
        <w:rPr>
          <w:rFonts w:ascii="Times New Roman PS Std;serif" w:hAnsi="Times New Roman PS Std;serif"/>
          <w:b w:val="false"/>
          <w:i w:val="false"/>
          <w:caps w:val="false"/>
          <w:smallCaps w:val="false"/>
          <w:sz w:val="20"/>
          <w:bdr w:val="single" w:sz="8" w:space="10" w:color="000000"/>
        </w:rPr>
        <w:t>”)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to accept a Superior Proposal;</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terminates the merger agreement following a Change in the AIR Recommendation; or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following requirements are satisfied: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Tenax is not in material breach of any of its representations, warranties or covenants);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such termination, a Competing AIR Proposal has been publicly announced or become publicly known;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enters into a definitive agreement in respect of such Competing AIR Proposal and such transaction is consummated within 12 months after such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Tenax to pay AIR an amount equal to $1,250,000 (the “</w:t>
      </w:r>
      <w:r>
        <w:rPr>
          <w:rFonts w:ascii="Times New Roman PS Std;serif" w:hAnsi="Times New Roman PS Std;serif"/>
          <w:b w:val="false"/>
          <w:i w:val="false"/>
          <w:caps w:val="false"/>
          <w:smallCaps w:val="false"/>
          <w:sz w:val="20"/>
          <w:u w:val="single"/>
          <w:bdr w:val="single" w:sz="8" w:space="10" w:color="000000"/>
        </w:rPr>
        <w:t>Tenax Termination Fee</w:t>
      </w:r>
      <w:r>
        <w:rPr>
          <w:rFonts w:ascii="Times New Roman PS Std;serif" w:hAnsi="Times New Roman PS Std;serif"/>
          <w:b w:val="false"/>
          <w:i w:val="false"/>
          <w:caps w:val="false"/>
          <w:smallCaps w:val="false"/>
          <w:sz w:val="20"/>
          <w:bdr w:val="single" w:sz="8" w:space="10" w:color="000000"/>
        </w:rPr>
        <w:t>”)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AIR is not in material breach of any of its representations, warranties or covenants);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terminates the merger agreement if the effective time has not occurred by 11:59 P.M., Eastern Time, on the Outside Date, and at such time AIR could have terminated the merger agreement due to either of the two circumstances listed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Other Related Agreements (page 85)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Redemption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 — Redemption Rights Agreement” beginning on page 85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Registration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closing, AIR, the Tenax Members, the Tenax Warrantholders and NTC Group, as Investors’ Representative, will enter into a registration rights agreement granting (i) Thomas Foley, Chairman of Tenax, and Taran Bakker, a director of Tenax, and certain of their respective affiliates customary demand rights and (ii) the Tenax Members piggyback registration rights, in each case for the resale of the shares of AIR common stock held by the Tenax Members. See the section entitled “Other Related Agreements — Registration Rights Agreement” beginning on page 86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Contracts Between AIR and Tenax (page 145)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Other than the merger agreement and the other transaction documents described in the section entitled “Other Related Agreements”, neither AIR nor any of its affiliates has been, is or is currently expected to be a party to any material contract or arrangement, or to have had any material relationship, with Tenax or any of its affiliates. See the sections entitled “Material Contracts Between AIR and Tenax” beginning on page 145 of this proxy statement/prospectus and “The Merger — Background of the Merger” beginning on page 39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 (page 64)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transaction is expected to be accounted for as a reverse acquisition under Financial Accounting Standards Board Accounting Standards Codification (“</w:t>
      </w:r>
      <w:r>
        <w:rPr>
          <w:rFonts w:ascii="Times New Roman PS Std;serif" w:hAnsi="Times New Roman PS Std;serif"/>
          <w:b w:val="false"/>
          <w:i w:val="false"/>
          <w:caps w:val="false"/>
          <w:smallCaps w:val="false"/>
          <w:sz w:val="20"/>
          <w:u w:val="single"/>
          <w:bdr w:val="single" w:sz="8" w:space="10" w:color="000000"/>
        </w:rPr>
        <w:t>ASC</w:t>
      </w:r>
      <w:r>
        <w:rPr>
          <w:rFonts w:ascii="Times New Roman PS Std;serif" w:hAnsi="Times New Roman PS Std;serif"/>
          <w:b w:val="false"/>
          <w:i w:val="false"/>
          <w:caps w:val="false"/>
          <w:smallCaps w:val="false"/>
          <w:sz w:val="20"/>
          <w:bdr w:val="single" w:sz="8" w:space="10" w:color="000000"/>
        </w:rPr>
        <w:t>”) Topic 805, “</w:t>
      </w:r>
      <w:r>
        <w:rPr>
          <w:rFonts w:ascii="Times New Roman PS Std;serif" w:hAnsi="Times New Roman PS Std;serif"/>
          <w:b w:val="false"/>
          <w:i/>
          <w:caps w:val="false"/>
          <w:smallCaps w:val="false"/>
          <w:sz w:val="20"/>
          <w:bdr w:val="single" w:sz="8" w:space="10" w:color="000000"/>
        </w:rPr>
        <w:t>Business Combinations</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Topic 805</w:t>
      </w:r>
      <w:r>
        <w:rPr>
          <w:rFonts w:ascii="Times New Roman PS Std;serif" w:hAnsi="Times New Roman PS Std;serif"/>
          <w:b w:val="false"/>
          <w:i w:val="false"/>
          <w:caps w:val="false"/>
          <w:smallCaps w:val="false"/>
          <w:sz w:val="20"/>
          <w:bdr w:val="single" w:sz="8" w:space="10" w:color="000000"/>
        </w:rPr>
        <w:t>”), with Tenax deemed the accounting acquirer and AIR treated as the accounting acquiree for financial reporting purposes. See the section entitled “Unaudited Pro Forma Condensed Combined Financial Information — Accounting Treatment of the Merger” beginning on page 93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Financing of the Merger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that, at the closing of the merger, Tenax fund the repayment of AIR’s net senior and subordinated debt, amounting in the aggregate to approximately $26.233 million as of May 31, 2026. Tenax relies on loans from a syndicate of banks to fund its operations. As of June 30, 2026, Tenax’s available borrowing capacity under its existing credit facility was $27 million. Tenax intends to seek, and believes it will be able to obtain, the necessary lender approvals to increase its borrowing capacity under its existing credit facility to refinance AIR’s net senior and subordinated debt or to otherwise obtain commitments from its lenders to satisfy its cash requirements at the closing of the merger. In addition, prior to closing, Tenax or one or more of its affiliates (which may include one or more Tenax Members) may, in their discretion, provide interim financial assistance to AIR to support its near-term liquidity needs, including in circumstances where AIR would otherwise require additional working capital or liquidity to continue operations during the period between signing and closing. See the sections entitled “The Merger — Financing of the Merger” beginning on page 38 of this proxy statement/prospectus and “Risk Factors — Risks Relating to the Merger — </w:t>
      </w:r>
      <w:r>
        <w:rPr>
          <w:rFonts w:ascii="Times New Roman PS Std;serif" w:hAnsi="Times New Roman PS Std;serif"/>
          <w:b w:val="false"/>
          <w:i/>
          <w:caps w:val="false"/>
          <w:smallCaps w:val="false"/>
          <w:sz w:val="20"/>
          <w:bdr w:val="single" w:sz="8" w:space="10" w:color="000000"/>
        </w:rPr>
        <w:t>There can be no assurance that Tenax will be able to secure the financing necessary to repay AIR’s net senior and subordinated debt in a timely manner or at all.</w:t>
      </w:r>
      <w:r>
        <w:rPr>
          <w:rFonts w:ascii="Times New Roman PS Std;serif" w:hAnsi="Times New Roman PS Std;serif"/>
          <w:b w:val="false"/>
          <w:i w:val="false"/>
          <w:caps w:val="false"/>
          <w:smallCaps w:val="false"/>
          <w:sz w:val="20"/>
          <w:bdr w:val="single" w:sz="8" w:space="10" w:color="000000"/>
        </w:rPr>
        <w:t>” beginning on page 16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Reverse Stock Split (page 39)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proxy statement/prospectus, the trading price of AIR’s common stock on the NYSE American is less than $4.00 per share, and there is no assurance that it will not be below $4.00 per share at the effective time, meaning that the combined company would not satisfy the $4.00 minimum share price requirement for initial listing on the NYSE American under Section 101 of the NYSE American Company Guide. As a result, prior to the closing but, assuming the authorized shares proposal is approved at the special meeting, after the related amendment to the articles of incorporation of AIR becomes effective, AIR will file a certificate of change with the Nevada Secretary of State to effect, pursuant to NRS 78.207, a reverse stock split of the issued and outstanding shares of AIR common stock at a ratio of one (1) post-split share of AIR common stock for every five (5) pre-split shares of AIR common stock, while simultaneously reducing the number of authorized shares of AIR common stock under the articles of incorporation of AIR by a corresponding factor, with any fractional share of AIR common stock otherwise resulting from the split rounded up to the nearest whole share. Pursuant to NRS 78.207, the AIR Board has the authority to effect such a reverse stock split without stockholder approval. See the sections entitled “The Merger — Reverse Stock Split” beginning on page 39 of this proxy statement/prospectus and “Risk Factors — Risks Relating to the Merger — </w:t>
      </w:r>
      <w:r>
        <w:rPr>
          <w:rFonts w:ascii="Times New Roman PS Std;serif" w:hAnsi="Times New Roman PS Std;serif"/>
          <w:b w:val="false"/>
          <w:i/>
          <w:caps w:val="false"/>
          <w:smallCaps w:val="false"/>
          <w:sz w:val="20"/>
          <w:bdr w:val="single" w:sz="8" w:space="10" w:color="00000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r>
        <w:rPr>
          <w:rFonts w:ascii="Times New Roman PS Std;serif" w:hAnsi="Times New Roman PS Std;serif"/>
          <w:b w:val="false"/>
          <w:i w:val="false"/>
          <w:caps w:val="false"/>
          <w:smallCaps w:val="false"/>
          <w:sz w:val="20"/>
          <w:bdr w:val="single" w:sz="8" w:space="10" w:color="000000"/>
        </w:rPr>
        <w:t>” beginning on page 24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Rights of AIR Stockholders and Tenax Members (page 160)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incorporated under the laws of the State of Nevada, and the rights of the AIR stockholders are governed by the NRS, whereas Tenax is organized under the laws of the State of Delaware, and the rights of the Tenax Members are governed by the DLLCA. In addition, AIR stockholders and Tenax Members have different rights pursuant to the governing documents of each of AIR and Tenax. Accordingly, upon the completion of the merger, the Tenax Members will have different rights once they become stockholders of AIR because of the differences between these states of incorporation and formation and the governing documents of AIR and Tenax. See the section entitled “Comparison of Rights of AIR Stockholders and Tenax Members” beginning on page 160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Dissenter’s Rights (page 175)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NRS, there are no rights of dissent available to the stockholders of AIR in connection with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Consequences of the Transactions (page 89)</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AIR common stock will not recognize gain or loss for U.S. federal income tax purposes as a result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U.S. federal income tax consequences of the receipt of Redemption Rights by a holder of AIR common stock are unclear. AIR intends to take the position that a holder’s receipt of the Redemption Rights constitutes an “open transaction”. Absent a change in law requiring otherwise after the date of the redemption rights agreement, AIR will not report the issuance of the Redemption Rights as a current distribution to such holder. This position may be challenged by the IRS, in which case a holder could be required to recognize taxable income in respect of the Redemption Rights without the corresponding receipt of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tax consequences of the Transactions to any particular holder of AIR common stock will depend on that holder’s facts and circumstances. Accordingly, all holders are urged to consult their own tax advisors regarding the tax consequences of the Transactions, including the effects of U.S. federal, state and local laws and non-U.S. tax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 (page 16)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the merger agreement and the Transactions, you should carefully read this proxy statement/prospectus and the documents incorporated by reference herein and the annexes attached hereto. In particular, you should consider the factors discussed in the section entitled “Risk Factors” beginning on page 16 of this proxy statement/prospectus. The merger and the businesses of AIR and Tenax involve a number of risks. The following is a summary of some of these risks.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closing of the merger is subject to many conditions, and if these conditions are not satisfied or waived, the merger will not be completed.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can be no assurance that Tenax will be able to secure the financing necessary to repay AIR’s net senior and subordinated debt in a timely manner or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consummate the merger, we may not be able to operate our business at current levels.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and Tenax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Existing AIR stockholders will be substantially diluted in the merger and will have significantly reduced relative voting power and influence over AIR following the merger, and the resulting limited public float may adversely affect the liquidity and market price of AIR common stock.</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contains restrictions on our ability to pursue other alternatives to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Completion of the merger may require consents or trigger change in control or other provisions in certain agreements to which AIR is a party.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unaudited pro forma condensed combined financial statements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there is no public market for Tenax units, the valuation of Tenax is inherently uncertain.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Redemption Rights may not provide AIR stockholders with the value or liquidity they may expect in connection with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AIR Following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Combining AIR and Tenax may be more difficult, costly or time-consuming than expected, and the anticipated benefits and cost savings of the merger may not be realized.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could lose key personnel or may be unable to recruit qualified personnel following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is expected to incur substantial expenses related to the completion of the merger and the integration of AIR and Tenax.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future results of AIR may be adversely affected if AIR does not effectively manage its expanded operations following the completion of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merger, AIR will meet the requirements to be a “controlled company” and is expected to meet the requirements to be a “Smaller Reporting Company” within the meaning of the rules of the NYSE American and, as a result, will qualify for and, for so long as it so qualifies, intends to rely on exemptions from certain corporate governance standards, which limit the presence of independent directors on its board of directors or board committees and the presence of an independent compensation consultant.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condition to consummation of the merger, unless waived by Tenax, AIR stockholders must approve the written consent proposal, thereby approving an amendment to AIR’s articles of incorporation to include a provision permitting AIR stockholders to act by written consent in lieu of a stockholder meeting under only certain limited circumstances.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combined company fails to comply with the initial or continued listing requirements of the NYSE American, shares of AIR common stock could face possible delisting, which would result in, among other things, a limited public market for shares of AIR common stock and make obtaining future debt or equity financing more difficult for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of a substantial number of shares of AIR common stock in the merger, and the potential resale of such shares following the merger, may negatively affect the market price of AIR common stock.</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completion of the merger, Thomas Foley will be AIR’s largest stockholder, owning, directly or indirectly, approximately 52% of the fully diluted shares of the AIR common stock, and will have the ability to exercise significant influence over decisions requiring approval of AIR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Tenax’s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depends on winning profitable business in competitive markets from U.S. government customers for a significant portion of its revenue.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derives a significant portion of its revenue from a concentrated number of large contracts, and the loss or material reduction of any of these contracts may adversely affect its business, financial condition, liquidity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Termination, expiration or non-renewal of Tenax’s existing U.S. government contracts may adversely affect its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reduction in U.S. government funding, a change in U.S. government spending priorities or a U.S. government shutdown may adversely affect Tenax’s business, financial condition, liquidity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Tenax fails to comply with laws and regulations governing federal contractors, Tenax could lose business and be liable for various penalties or sanctions.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depends on key personnel at NTC Group, and the loss of these key personnel could adversely affect Tenax’s operations, customer relationships and ability to execute its acquisition strategy.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operates in highly competitive markets, and competitive pressures may adversely affect it.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Tenax’s business could be negatively affected by cyber or other security threats or other disruptions.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Tenax’s operations depend on its aircraft and hangars, and damage to, or disruption affecting, those assets could materially adversely affect its business, financial condition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Restrictive and financial covenants in the documents governing Tenax’s existing and any future indebtedness may limit its current and future operations, particularly Tenax’s ability to respond to changes in its business or to pursue its business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these and other risks, please see the section entitled “Risk Factors” beginning on page 16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3"/>
      <w:bookmarkEnd w:id="3"/>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vote, you should carefully consider the risks described in the section entitled “Cautionary Statement Regarding Forward-Looking Statements” beginning on page 32 of this proxy statement/prospectus and the other information contained in this proxy statement/prospectus, particularly the risk factors discussed in this section of this proxy statement/prospectus entitled “Risk Factors”. See the section entitled “Where You Can Find More Information” beginning on page 177 of this proxy statement/prospectus. In addition to the risks set forth below, new risks may emerge from time to time, and it is not possible to predict all risk factors, nor can AIR or Tenax assess the impact of all factors on the merger and AIR following the merger or the extent to which any factor or combination of factors may cause actual results to differ materially from those contained in or implied by any forward-looking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 w:name="T9904"/>
      <w:bookmarkEnd w:id="4"/>
      <w:r>
        <w:rPr>
          <w:rFonts w:ascii="Times New Roman PS Std;serif" w:hAnsi="Times New Roman PS Std;serif"/>
          <w:b/>
          <w:i w:val="false"/>
          <w:caps w:val="false"/>
          <w:smallCaps w:val="false"/>
          <w:sz w:val="20"/>
        </w:rPr>
        <w:t xml:space="preserve">Risks Relating to the Merger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closing of the merger is subject to many conditions, and if these conditions are not satisfied or waived, the merger will not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subject to a number of conditions as set forth in the merger agreement that must be satisfied or waived, including the effectiveness of the registration statement on Form S-4 of which this proxy statement/prospectus forms a part and the absence of any stop order suspending that effectiveness or proceeding for that purpose, the approval by the AIR stockholders of the stock issuance proposal, the authorized shares proposal and the written consent proposal, the absence of any law or injunction prohibiting the consummation of the merger, the authorization of the listing on the NYSE American of the shares of AIR common stock to be issued in the merger and the receipt of regulatory approvals.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also subject to the satisfaction or waiver of a number of other conditions, including, among others, the accuracy of representations and warranties in the merger agreement (subject to certain materiality qualifiers, other customary exceptions and customary cure rights), the performance in all material respects by us and Tenax of our respective obligations under the merger agreement, the absence of a material adverse effect on Tenax or us and the receipt by us and Tenax of officer certificates signed on behalf of Tenax, with respect to the certificate to be received by us, and signed on behalf of us and Merger Sub, with respect to the certificate to be received by Tenax, certifying the satisfaction of the preceding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complete summary of the conditions that must be satisfied or waived prior to completion of the merger, see the section entitled “The Merger Agreement — Conditions to Completion of the Merger” beginning on page 80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as to whether or when the conditions to the closing of the merger will be satisfied or waived or as to whether or when the merger will be consummated.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Tenax will be able to secure the financing necessary to repay AIR’s net senior and subordinated debt in a timely manner or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Tenax’s obligation to consummate the merger is not conditioned upon obtaining financing, the merger agreement requires that, at the closing of the merger, Tenax fund the repayment of AIR’s net senior and subordinated debt, amounting in the aggregate to approximately $26.233 million as of May 31, 2026. Tenax relies on loans from a syndicate of banks to fund its operations. As of June 30, 2026, Tenax’s available borrowing capacity under its existing credit facility was $27 million. If Tenax is unable to obtain the necessary lender approvals to increase its borrowing capacity under its existing credit facility to refinance AIR’s net senior and subordinated debt or otherwise obtain commitments from its lenders to satisfy its cash requirements at the closing of the merger, the merger could be delayed or may not be completed. If Tenax were to complete the merger without having sufficient funds to repay AIR’s net senior and subordinated debt, this could reasonably be expected to result in events of default under Tenax’s or AIR’s existing credit agreements, which could have a material adverse effect on the combined company. See the section entitled “The Merger — Financing of the Merger” beginning on page 38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termination of the merger agreement could negatively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(i) by mutual written consent of Tenax and AIR, duly authorized by the Tenax Board and the AIR Board, respectively; (ii) by either AIR or Tenax, following a meeting of the AIR stockholders at which the AIR stockholders fail to approve the stock issuance proposal, the authorized shares proposal and the written consent proposal; (iii) by either AIR or Tenax, if any Restraint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party seeking to terminate the merger agreement for this reason has complied in all material respects with its covenants and agreements under the merger agreement regarding the use of efforts to consummate the Transactions); (iv) by either AIR or Tenax, if the effective time has not occurred on or before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right to terminate the merger agreement for this reason will not be available to (a) any party whose failure to fulfill any obligation under the merger agreement or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or (c) Tenax if any Tenax Member’s material breach of its obligations under the Tenax Member Support Agreement has been a material cause of, or resulted in, the failure of the effective time to occur on or before such time); (v) 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will not have the right to terminate the merger agreement pursuant to this clause if Tenax is in material breach of its representations, warranties or covenants at the time of such termination); (vi) by Tenax, if a Change in the AIR Recommendation shall have occurred; (vii) 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will not have the right to terminate the merger agreement pursuant to this clause if AIR is in material breach of its representations, warranties or covenants at the time of such termination); (viii) 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 (ix) by AIR, to accept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for any reason, our ongoing business may be adversely affected and, without realizing any of the anticipated benefits of having completed the Transactions, we would be subject to a number of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AIR common stock could decline;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 agreement is terminated and the AIR Board seeks another business combination, our stockholders cannot be certain that we will be able to find a party willing to enter into a transaction on terms equivalent to or more attractive than the terms that Tenax has agreed to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and resources, financial and other, committed by our management to matters relating to the Transactions could otherwise have been devoted to pursuing other beneficial opportunities for our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experience negative reactions from the financial markets or from our customers, suppliers or employees;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required to pay our respective costs relating to the Transactions, including legal, accounting, financial advisory, financing and printing fees, whether or not the Transactions are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under specified circumstances, we may be required to pay Tenax a termination fee of $1.25 million. See the section entitled “The Merger Agreement — Expenses and Termination Fees” beginning on page 82 of this proxy statement/prospectus for a more complete discussion of the circumstances under which the merger agreement could be terminated.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merger is not completed, we could be subject to litigation related to any failure to complete the merger or related to any enforcement proceeding commenced against us to perform our obligations under the merger agreement. The materialization of any of these risks could materially and adversely affect our ongoing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consummate the merger, we may not be able to operate our business at current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merger is consummated, we may not be able to continue to operate our business at current levels unless we are able to generate substantial revenues and become profitable and/or obtain substantial additional financing from a conventional bank lender or other financial institution to replace our existing credit facility with Webster Bank upon its termination at September 30, 2026, and our obligations under the subordinated debt, or refinance such indebtedness on terms acceptable to us or through the issuance of our debt and/or equity securities. There can be no assurance that AIR would be able to obtain such financing or refinancing on acceptable terms or at all, or that AIR would be able to generate sufficient revenues to service its existing indebtedness and fund its operations on a standalone basis.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Tenax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employees and customers may have an adverse effect on us, Tenax or the combined company following the merger. These uncertainties could disrupt our business or the business of Tenax and cause customers, suppliers, vendors, partners and others that deal with us and Tenax to defer entering into contracts with us and Tenax or making other decisions concerning us and Tenax or seek to change or cancel existing business relationships with us and Tenax. Retention and motivation of certain employees may be challenging during the pendency of the merger due to uncertainty about their future roles and difficulty of integration. If key employees depart because of issues related to the uncertainty and difficulty of integration or a desire not to remain with AIR following the merger, AIR’s business following the merger could be negatively affected. In addition, the merger agreement restricts AIR and Tenax from making certain acquisitions and investments and imposes certain other restrictions on the conduct of each party’s business until the merger occurs without the consent of the other party. These restrictions may negatively affect each party’s business and operations or prevent either party from pursuing attractive business opportunities that may arise prior to the completion of the merger which may reduce the profitability of AIR following the merger. See the sections entitled “The Merger Agreement — Other Covenants and Agreements — Conduct of Business of AIR Prior to Completion of the Merger” beginning on page 69 of this proxy statement/prospectus and “The Merger Agreement — Other Covenants and Agreements — Conduct of Business of Tenax Prior to Completion of the Merger” beginning on page 72 of this proxy statement/prospectus for descriptions of the restrictive covenants to which each of AIR and Tenax is subject.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Existing AIR stockholders will be substantially diluted in the merger and will have significantly reduced relative voting power and influence over AIR following the merger, and the resulting limited public float may adversely affect the liquidity and market price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the existing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As a result, existing AIR stockholders will experience substantial dilution and will own only a minority interest in AIR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consummation of the merger, the composition of the AIR Board will change significantly. The AIR Board will consist of no fewer than eight directors, of which no fewer than six will be designated by Tenax and two of which will be mutually agreed upon by Tenax and AIR. As a result, existing AIR stockholders will have significantly less influence over the management, business, operations, strategy and policies of AIR following the merger than they currently have.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significant reduction in relative ownership and voting power may cause existing AIR stockholders to have interests that differ from those of the Tenax Members and may limit the ability of existing AIR stockholders to influence significant corporate decisions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amended and restated merger agreement will help facilitate the satisfaction of the NYSE American minimum listing requirement related to public float, AIR’s unrestricted public float held by non-insiders (as determined for purposes of determining compliance with the NYSE American’s listing requirements) is expected to represent less than one-quarter of the outstanding shares of AIR common stock following the merger. Such limited public float may adversely affect the liquidity and trading price of AIR common stock, AIR’s ability to satisfy NYSE American continued listing requirements and AIR’s ability to raise capital in the public markets or attract institutional investor interest in the combined company.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restrictions on our ability to pursue other alternatives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non-solicitation provisions that, subject to limited exceptions, restrict our and our subsidiaries’ ability to, directly or indirectly, initiate, solicit, encourage, induce or assist any inquiries or the making, submission, announcement or consummation of, proposals or offers that constitute or could reasonably be expected to lead to any Competing AIR Proposal. Further, subject to limited exceptions, consistent with applicable law, the merger agreement provides that the AIR Board will not withhold, withdraw, qualify or modify (or publicly propose or resolve to withhold, withdraw, qualify or modify) in a manner adverse to Tenax its recommendation that the AIR stockholders vote in favor of the stock issuance proposal, the authorized shares proposal and the written consent proposal. Although the AIR Board is permitted to take certain actions in response to a Superior Proposal or an Intervening Event if (subject to compliance with the provisions of the merger agreement) it determines in good faith (after consultation with AIR’s outside legal counsel) that the failure to do so would reasonably be expected to violate its fiduciary duties under applicable law, doing so in specified situations could require us to pay to Tenax a termination fee of $1.25 million. See the sections entitled “The Merger Agreement — Other Covenants and Agreements — No Solicitation by AIR”, “The Merger Agreement — Other Covenants and Agreements — Change in the AIR Recommendation” and “The Merger Agreement — Expenses and Termination Fees” beginning on pages 73, 74 and 82, respectively, of this proxy statement/prospectus for a more complete discussion of these restrictions and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provisions could discourage a potential acquiror that might have an interest in making a proposal from considering or proposing any such transaction. There also is a risk that the requirement to pay the AIR Termination Fee or expense reimbursement payment to Tenax in certain circumstances may result in a potential acquiror proposing to pay a lower per share price to acquire us than it might otherwise have proposed to pay.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require consents or trigger change in control or other provisions in certain agreements to which AIR is a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Transactions may require consents or trigger change in control or other provisions in certain agreements to which AIR is a party. If Tenax and AIR are unable to obtain consents or negotiate waivers of those provisions, the counterparties may exercise their rights and remedies under the agreements, potentially terminating the agreements, discontinuing business relationships or seeking monetary damages. Even if Tenax and AIR are able to obtain consents or negotiate waivers, the counterparties may require a fee for such waivers or seek to renegotiate the agreements on terms less favorable to AIR. Such action could cause AIR to lose business, increase the cost of doing business and/or lower profitability or have other adverse financial impacts.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statements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unaudited pro forma condensed combined financial statements and prospective financial information contained in this proxy statement/prospectus are presented for illustrative purposes only; are based on various adjustments, assumptions and preliminary estimates; and do not represent the actual financial condition or results of operations of AIR and Tenax prior to the merger and may not be an indication of financial condition or results of operations of the combined company following the merger for several reasons. The actual financial condition and results of operations of AIR and Tenax prior to the merger and those of the combined company following the merger may not be consistent with, or evident from, these unaudited pro forma condensed combined financial statements and prospective financial information. In addition, the assumptions used in preparing the unaudited pro forma condensed combined financial statements and prospective financial information may not be realized, and other factors may affect AIR’s and Tenax’s respective financial condition or results of operations prior to the merger and the combined company’s financial condition or results of operations following the merger. Furthermore,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AIR will conduct a review of its accounting policies in an effort to determine if differences in accounting policies require restatement or reclassification of results of operations or reclassification of assets or liabilities to conform to Tenax’s accounting policies and classifications. As a result of that review, the combined company may identify differences among the accounting policies of the companies that, when conformed, could have a material impact on the unaudited pro forma condensed combined financial statements contained in this proxy statement/prospectus. Any potential decline in AIR’s, Tenax’s or the combined company’s financial condition or results of operations may cause significant variations in the pro forma financial statements and AIR’s stock price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waive one or more of the conditions to the merger without resoliciting stockholder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determine to waive, in whole or in part, one or more of the conditions to our obligations to complete the merger, to the extent permitted by applicable laws. We will evaluate the materiality of any such waiver and its effect on the AIR stockholders in light of the facts and circumstances at the time to determine whether any amendment of this proxy statement/prospectus and resolicitation of proxies is required or warranted. In some cases, if the AIR Board determines that such a waiver is warranted but that such waiver or its effect on the AIR stockholders is not sufficiently material to warrant resolicitation of proxies, we have the discretion to complete the merger without seeking further stockholder approval. Any determination whether to waive any condition to the merger or as to resoliciting stockholder approval or amending this proxy statement/prospectus as a result of a waiver will be made by us at the time of such waiver based on the facts and circumstances as they exist at that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due diligence investigation of Tenax was inadequate or if unexpected risks related to Tenax’s business materialize, it could have a material adverse effect on our stockholders’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we conducted a due diligence investigation of Tenax, we cannot be sure that our diligence surfaced all material issues that may be present inside Tenax or its business, or that it would be possible to uncover all material issues through a customary amount of due diligence, or that factors outside of Tenax and its business and outside of its control will not arise later. If any such material issues arise, they may materially and adversely affect the ongoing business of AIR and our stockholders’ investment.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there is no public market for Tenax units, the valuation of Tenax is inherently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membership interests of Tenax are privately held and are not traded in any public market. As a result, the value of Tenax is inherently uncertain and difficult to determine. Because Tenax units are not publicly traded and there is no established market price for Tenax, the value of the shares of AIR common stock to be issued to the Tenax Members as the merger consideration may ultimately be greater than or less than the value that might be ascribed to Tenax in a public market as of the effective time. As a result, the merger consideration may not reflect the value that investors or analysts might independently assign to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Redemption Rights may not provide AIR stockholders with the value or liquidity they may expect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will not receive merger consideration directly in the merger. Instead, AIR has agreed to, prior to the closing, issue Redemption Rights that may become exercisable on the first anniversary of the closing under specified conditions. This arrangement is subject to significant limitations, including timing conditions and price-based triggers. Accordingly, AIR stockholders may not be able to realize value through the Redemption Rights, or may do so only on a delayed basis, and the Redemption Rights may not fully offset the dilution resulting from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 w:name="T9905"/>
      <w:bookmarkEnd w:id="5"/>
      <w:r>
        <w:rPr>
          <w:rFonts w:ascii="Times New Roman PS Std;serif" w:hAnsi="Times New Roman PS Std;serif"/>
          <w:b/>
          <w:i w:val="false"/>
          <w:caps w:val="false"/>
          <w:smallCaps w:val="false"/>
          <w:sz w:val="20"/>
        </w:rPr>
        <w:t xml:space="preserve">Risks Relating to AIR Following the Merger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merger, AIR’s business will include operations of Tenax that differ from AIR’s operations prior to the merger, and accordingly the results of operations of AIR following the merger will be affected by some factors that are different from those currently affecting our results of operations. This proxy statement/prospectus describes the business of Tenax and also describes important factors to consider in connection with that business and the business of AIR following the merger. For a discussion of these matters, see, for example, the sections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entitled “Description of Tenax Business”, “Management’s Discussion and Analysis of Financial Condition and Results of Operations of Tenax” and “Unaudited Pro Forma Condensed Combined Financial Information” beginning on pages 123, 131 and 93, respectively,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Combining AIR and Tenax may be more difficult, costly or time-consuming than expected, and the anticipated benefits and cost savings of the merger may not be realized.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Tenax have operated and, until the completion of the merger, will continue to operate independently. The success of the merger, including anticipated benefits and cost savings, will depend, in part, on our ability to successfully combine and integrate our business with the business of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involve the integration of Tenax’s business with our existing business, which is a complex, costly and time-consuming process. It is possible that the pendency of the merger and/or the integration process could result in material challenges, including,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management’s attention from ongoing business concerns and performance shortfalls at one or both of the companies as a result of the devotion of management’s attention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a larger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transition of management from AIR’s executive management team to Tenax’s executive management team;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employee morale and retaining key management and other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faulty assumptions underlying expectations regarding the integration process;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retaining existing business and operational relationships and attracting new business and operational relationships;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consolidating corporate and administrative infrastructures and eliminating duplicative operations and inconsistencies in standards, controls, procedures and policies;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the companies’ financial reporting and internal control systems, including compliance by the combined company with Section 404 of the Sarbanes-Oxley Act of 2002, as amended, and the rules promulgated thereunder by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adapting Tenax’s management team and operational infrastructure to the reporting, disclosure and governance obligations applicable to SEC reporting companies, including under the Exchange Act, the Sarbanes-Oxley Act and the NYSE American listing requirements, to which Tenax has not previously been subject;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remediating AIR’s existing material weakness in internal controls over financial reporting, which has remained unremediated since 2022, while simultaneously integrating Tenax’s financial reporting and control systems, which have not previously been subject to the requirements applicable to SEC reporting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coordinating geographically separate organizations;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and protecting the competitive advantages of each of AIR and Tenax, including the trade secrets, know-how and intellectual property related to their respective production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unanticipated issues in integrating information technology, communications and other systems;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unforeseen expenses or delays associated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these factors will be outside of the combined company’s control, and any one of them could result in delays, increased costs, decreases in revenues and diversion of management’s time and energy, which could materially affect the combined company’s financial position, results of operations and cash flows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Tenax experience difficulties with the integration process, the anticipated benefits of the merger may not be realized fully or at all, or may take longer to realize than expected. These integration matters could have an adverse effect on (i) each of AIR and Tenax during this transition period and (ii) the combined company for an undetermined period after completion of the merger. In addition, the actual cost savings of the merger could be less than anticipated.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could lose key personnel or may be unable to recruit qualified personnel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future success depends upon the continued contributions of our senior management and other key personnel and the ability to retain and motivate them. If we are unable to retain and motivate the senior management team and other key personnel sufficiently to maintain our current business and, following the merger, support the projected growth and initiatives of the combined business, our respective business and financial performance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future results of AIR may be adversely affected if AIR does not effectively manage its expanded operations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the size of AIR’s business will be significantly larger than the current size of either our or Tenax’s respective businesses. AIR’s ability to successfully manage this expanded business will depend, in part, upon management’s ability to design and implement strategic initiatives that address not only the integration of two discrete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is expected to incur substantial expenses related to the completion of the merger and the integration of AIR and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Tenax have incurred, and expect to continue to incur, a number of nonrecurring costs associated with the merger and combining the operations of the two companies. The substantial majority of nonrecurring expenses will be composed of transaction and regulatory costs related to the merger. AIR also will incur transaction fees and costs related to formulating and implementing integration plans, including facilities and systems consolidation costs and employment-related costs. We and Tenax continue to assess the magnitude of these costs, and additional unanticipated costs may be incurred in the merger and the integration of the two companies’ businesses.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the composition of the AIR Board will be different than the composition of the current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merger, the composition of the AIR Board will be different than the current AIR Board. The AIR Board currently consists of six directors. Upon the consummation of the merger, the AIR Board will consist of no fewer than eight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fewer than six individuals will be designated by Tenax;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 individuals will be mutually agreed upon by Tenax and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new composition of AIR Board may affect the future decisions of AIR.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AIR will meet the requirements to be a “controlled company” within the meaning of the rules of the NYSE American and, as a result, will qualify for and, for so long as it so qualifies, intends to rely on exemptions from certain corporate governance standards, which limit the presence of independent directors on its board of directors or board committees.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approximately 96% of the outstanding shares of AIR common stock will be held by the Tenax Members and Tenax Warrantholders, on a fully diluted basis, and approximately 4% will be held by the current AIR stockholders, on a fully diluted basis. Thomas Foley will own, directly or indirectly, approximately 52% of the fully diluted shares of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AIR will be a “controlled company” for purposes of Section 801(a) of the NYSE American Company Guide and will be exempt from certain governance requirements otherwise required by the NYSE American. 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Following the consummation of the merger, AIR will continue to have an Audit Committee that is composed entirely of independent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AIR is expected to meet the requirements to be a “Smaller Reporting Company” within the meaning of the rules of the NYSE American and, as a result, is expected to qualify for and, if and for so long as it so qualifies, intends to rely on exemptions from certain corporate governance standards, which limit the presence of independent directors on its board of directors or board committees and the presence of an independent compensation consultant.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expected to qualify as a “Smaller Reporting Company” for purposes of Section 801(h) of the NYSE American Company Guide and will be exempt from certain governance requirements otherwise required by the NYSE American. 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condition to consummation of the merger, unless waived by Tenax, AIR stockholders must adopt a provision permitting AIR stockholders to act by written consent in lieu of a stockholder meeting under only certain limited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AIR’s existing articles of incorporation and bylaws, AIR stockholders are currently not permitted to take stockholder action by written consent in lieu of a stockholder meeting. As a condition to completion of the merger, unless waived by Tenax, the AIR stockholders must approve the written consent proposal, thereby approving an amendment to AIR’s articles of incorporation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At any time when NTC Group, Thomas Foley and Taran Bakker and their respective affiliates collectively do not beneficially own at least a majority of the voting power of the outstanding shares of AIR common stock, any action required to be taken or permitted to be taken by stockholders of AIR may be effected only at a duly called annual or special meeting of stockholders and may not be taken by written consent. A reinstatement of a prohibition on stockholder action by written consent at any time when NTC Group, Thomas Foley and Taran Bakker and their respective affiliates no longer collectively beneficially own at least a majority of the voting power of the outstanding shares of AIR common stock may be considered an anti-takeover measure by forcing a potential acquirer to take control of AIR only at a duly called special or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341 of the NYSE American Company Guide, if a listed issuer engages in a reverse merger, it will be eligible for continued listing on the NYSE American only if the post-transaction entity meets the standards for initial listing. Companies listed on the NYSE American are subject to initial listing standards that require, among other things, a minimum share price of $4.00 per share and an aggregate market value of unrestricted publicly held shares of at least $15 million. As of the date of this proxy statement/prospectus, the trading price of AIR’s common stock on the NYSE American is less than $4.00 per share, and there is no assurance that it will not be below $4.00 per share at the effective time, meaning the combined company would fail to meet the standards for initial listing on the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authorized shares proposal is approved at the special meeting and after the related amendment to the articles of incorporation of AIR becomes effective, AIR intends to effect the reverse stock split prior to the closing of the merger in order to satisfy the $4.00 minimum share price requirement for initial listing on the NYSE American under Section 101 of the NYSE American Company Guide. While the reverse stock split is intended to increase the per share price of AIR common stock above the $4.00 threshold, there can be no assurance that the market price of AIR common stock will be at or above $4.00, at the closing of the merger or for any sustained period thereafter. The market price of AIR common stock and the resulting market value of unrestricted publicly held shares depends on many factors unrelated to the number of shares outstanding, including our operating results, financial condition, prospects and general market and economic conditions. Additionally, reverse stock splits are often viewed negatively by investors and may result in reduced trading volume and liquidity in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AIR common stock fails to satisfy the NYSE American initial listing requirements (or, subsequent to the merger, the continued listing requirements), AIR common stock could be delisted from the NYSE American. If AIR common stock is delisted, it would likely trade on the over-the-counter market, which could significantly reduce the liquidity and market price of AIR common stock, limit the combined company’s ability to raise additional capital through equity issuances, result in a loss of confidence by investors, employees and business partners and make AIR common stock subject to “penny stock” rules, which would impose additional burdens on broker-dealers and further restrict secondary market trading in AIR common stock. Any such delisting could have a material adverse effect on the combined company’s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a substantial number of shares of AIR common stock in the merger, and the potential resale of such shares following the merger, may negatively affect the market price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AIR will issue a substantial number of shares of AIR common stock to the Tenax Members, who, combined with the Tenax Warrantholders, are expected to own approximately 96% of the outstanding shares of AIR common stock following the merger, on a fully diluted basis. In addition, the registration rights agreement will grant certain Tenax Members demand registration rights for the resale of shares of AIR common stock held by them. See the section entitled “Other Related Agreements — Registration Rights Agreement” beginning on page 12 of this proxy statement/prospectus. The market price of AIR common stock could decline as a result of sales of a large number of shares of AIR common stock in the market after the exercise of such registration rights, or even the perception that these sales could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completion of the merger, Thomas Foley will be AIR’s largest stockholder, owning, directly or indirectly, approximately 52% of the fully diluted shares of the AIR common stock, and will have the ability to exercise significant influence over decisions requiring the AIR stockholders’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be controlled by Thomas Foley following the completion of the merger. Mr. Foley will own, directly or indirectly, approximately 52% of the fully diluted shares of the AIR common stock. As a result, Mr. Foley will have the ability to exercise significant influence over decisions requiring approval of the AIR stockholders, including the election of directors, amendments to AIR’s articles of incorporation and approval of significant corporate transactions, such as a merger or other sale of AIR or its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concentration of ownership may have the effect of delaying, preventing or deterring a change in control of AIR and may negatively affect the market price of AIR’s common stock. Also, Thomas Foley and his affiliated entities are in the business of making investments in companies and may from time to time acquire and hold interests in businesses that compete with AIR. Mr. Foley or his affiliates may also pursue acquisition opportunities that are complementary to AIR’s business and, as a result, those acquisition opportunities may not be available to AIR.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Risks Relating to Tenax’s Business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winning profitable business in competitive markets from U.S. government customers for a significant portion of its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derives a substantial portion of its revenue from contracts with the U.S. government, the most significant of which are typically awarded through a rigorous competitive bidding process. This competitive bidding process presents several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bid on programs for which the work activities, deliverables and timelines are vague or for which the solicitation incompletely describes the actual work, which may result in inaccurate pricing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incur substantial costs and spend a significant amount of managerial time and effort preparing bids and proposals with no guarantee of winning new business;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realize the lost opportunity cost of not bidding on and winning other contracts that it may have pursued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in the number and amounts of new awards, delays in the timing of anticipated awards or potential cancellations of such awards as a result of government appropriations or funding priorities, economic conditions, geopolitical pressures, material and equipment pricing and availability or other factors could adversely affect Tenax’s long-term financial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contract award, Tenax may also encounter significant expense associated with transitioning to a new contract, delay, contract modifications or the contract may be protested. Any project delays, cancellations, contract modifications or protests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faces rigorous competition and pricing pressures for any additional contract awards from the U.S. government. Many of Tenax’s existing contracts must be recompeted when the original period of performance ends. Recompetes represent opportunities for competitors to take business away from Tenax. Recompetes also represent opportunities for Tenax’s customers to obtain more favorable terms from Tenax that may present finance and performance risk. Tenax may be required to qualify or continue to qualify under multiple award contracts, and it may be more difficult for Tenax to pursue or win future task orders. If Tenax is unable to consistently win new contract awards, or successfully win recompetes for its existing contracts, Tenax’s business and prospects will be adversely affected, and its actual results may differ materially and adversely from those anticipated.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derives a significant portion of its revenue from a concentrated number of large contracts, and the loss or material reduction of any of these contracts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derives a significant portion of its revenues from the U.S. Forest Service Aerial Supervision Module program, the U.S. Army Geospatial Center’s HR3D program and the U.S. Navy Contracted Air Services Stand Off Jamming program. The loss of any of these contracts, significant changes in the prices or other important terms provided under any of these contracts or adverse developments with respect to these customers’ funding could materially reduce Tenax’s revenue, results of operations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expiration or non-renewal of Tenax’s existing U.S. government contracts may adversely affect its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U.S. government contracts generally are of a finite duration. The termination, expiration or non-renewal of Tenax’s existing U.S. government contracts could result in a loss of anticipated future revenue, which may adversely affect its business, financial condition, liquidity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may stop work or terminate any of Tenax’s government contracts, in whole or in part, at any time at its convenience with little or no notice in accordance with federal acquisition regulations. In addition, for some of its contracts, Tenax is a subcontractor and not the prime contractor, and in those arrangements, the U.S. government could terminate the prime contractor for convenience without regard for Tenax’s performance as a subcontractor. Tenax can give no assurance that one or more of its U.S. government contracts will not be terminated under such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may also terminate Tenax’s contracts for default if Tenax fails to meet its obligations under a contract. If any of Tenax’s contracts were terminated for convenience, Tenax generally would be entitled to receive payment for work completed and allowable termination or cancellation costs incurred on or prior to the termination effective date. If any of Tenax’s government contracts were terminated for default, generally the customer would pay Tenax only for the work that has been accepted. Moreover, the customer can require Tenax to pay the difference between the original contract price and the cost to re-procure the contract deliverables, net of the work accepted from the original contract. In addition, the U.S. government can also hold Tenax liable for damages resulting from the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expiration, non-renewal or early termination of any government contracts, whether for convenience or default, would adversely affect Tenax’s current programs and reduce its revenue, earnings and cash flows. A termination for default may also negatively affect Tenax’s reputation, performance ratings and ability to win new government contracts, particularly for contracts covering the same or similar types of services, affect Tenax’s ability to receive extensions on current contracts and complete the full period of performance of such contracts and may lead to increased litigation costs associated with challenging such early termination.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reduction in U.S. government funding, a change in U.S. government spending priorities or a U.S. government shutdown may adversely affect Tenax’s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contracts and revenue greatly depend upon the budgets of certain departments and agencies of the U.S. government, which are subject to the congressional budget authorization and appropriations process and are difficult to predict. The U.S. Congress usually appropriates funds for a given program on an October 1 to September 30 fiscal year basis. Most of Tenax’s U.S. government contracts, whether directly held or subcontracted through a prime contractor, are funded with operation and management (“</w:t>
      </w:r>
      <w:r>
        <w:rPr>
          <w:rFonts w:ascii="Times New Roman PS Std;serif" w:hAnsi="Times New Roman PS Std;serif"/>
          <w:b w:val="false"/>
          <w:i w:val="false"/>
          <w:caps w:val="false"/>
          <w:smallCaps w:val="false"/>
          <w:sz w:val="20"/>
          <w:u w:val="single"/>
        </w:rPr>
        <w:t>O&amp;M</w:t>
      </w:r>
      <w:r>
        <w:rPr>
          <w:rFonts w:ascii="Times New Roman PS Std;serif" w:hAnsi="Times New Roman PS Std;serif"/>
          <w:b w:val="false"/>
          <w:i w:val="false"/>
          <w:caps w:val="false"/>
          <w:smallCaps w:val="false"/>
          <w:sz w:val="20"/>
        </w:rPr>
        <w:t>”) funds, which can only be committed for the current fiscal year. As a result, most of Tenax’s U.S. government contracts have a one-year base period and two to four option years. Funding for the option years is not guaranteed and must be appropriated by the U.S. Congress in future fiscal years. Impacts on the budgets of certain departments and agencies of the U.S. government are a function of many factors beyond Tenax’s control, including, but not limited to, changes in U.S. procurement policies, budget considerations, the federal debt ceiling, current and future economic conditions, presidential administration and congressional priorities, continuing resolutions, changing national security and defense requirements, geopolitical developments and actual fiscal year congressional appropriations for defense budgets. Any of these factors could result in a significant redirection of current and future budgets of certain departments and agencies of the U.S. government and affect Tenax’s future operations and cash flows. Such factors may have a direct bearing on Tenax’s new business opportunities as well as on whether the U.S. government will exercise its options for services under existing contracts, thus affecting the timing and volume of Tenax’s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also faced, and may in the future face, a prolonged government shutdown, such as the 2025 U.S. federal government shutdown. A prolonged government shutdown could limit Tenax’s ability to be awarded new work, receive additional orders on current contracts, win recompetes or be paid under current contracts.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Tenax fails to comply with laws and regulations governing federal contractors, Tenax could lose business and be liable for various penalties or sanctions.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comply with laws and regulations relating to the formation, administration and performance of government contracts. These laws and regulations include the Federal Acquisition Regulations (“</w:t>
      </w:r>
      <w:r>
        <w:rPr>
          <w:rFonts w:ascii="Times New Roman PS Std;serif" w:hAnsi="Times New Roman PS Std;serif"/>
          <w:b w:val="false"/>
          <w:i w:val="false"/>
          <w:caps w:val="false"/>
          <w:smallCaps w:val="false"/>
          <w:sz w:val="20"/>
          <w:u w:val="single"/>
        </w:rPr>
        <w:t>FAR</w:t>
      </w:r>
      <w:r>
        <w:rPr>
          <w:rFonts w:ascii="Times New Roman PS Std;serif" w:hAnsi="Times New Roman PS Std;serif"/>
          <w:b w:val="false"/>
          <w:i w:val="false"/>
          <w:caps w:val="false"/>
          <w:smallCaps w:val="false"/>
          <w:sz w:val="20"/>
        </w:rPr>
        <w:t xml:space="preserve">”), Defense Federal Acquisition Regulations, the Truth in Negotiations Act, the Procurement Integrity Act, the Civil False Claims Act, Cost Accounting Standards and laws, regulations and orders restricting the use and dissemination of classified information under the U.S. export control laws and the export of certain products and technical information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safeguarding of contractor information systems. Substantive policy and enforcement priorities related to government contracts are changing very quickly and sometimes ambiguously, adding to the risk. For example, FAR is currently under a comprehensive review and re-write, which may affect Tenax’s business and overall risk once implemented.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is subject to U.S. government inquiries and investigations, including periodic audits of costs that Tenax determines are reimbursable under government contracts. U.S. government agencies routinely audit government contractors, including Tenax, to review performance under contracts, cost structure, compliance with applicable contracting and procurement laws, regulations and standards and compliance with applicable cybersecurity requirements, as well as the adequacy of and compliance with internal control systems and policies, including the contractor’s purchasing, property, estimating, compensation and management information systems. Any costs found to be misclassified, inaccurately allocated to a specific contract or otherwise unallowable are not reimbursable and, to the extent already reimbursed, must be refunded. If an audit uncovers improper or illegal activities, Tenax could be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As a result of such actions, Tenax may be subject to increased scrutiny, identified for enforcement action or required to engage in remediation efforts, any or all of which could damage Tenax’s reputation, increase its costs (including compliance costs) and risks, create operational challenges or adversely affect its competitiveness. In addition, Tenax risks serious reputational harm in situations involving allegations of impropriety made against Tenax or Tenax’s business partners. Finally, any inadequacies in Tenax’s systems and policies could result in termination of a contract, forfeiture of profits, suspension of payments, fines or suspension or debarment from U.S. government contracting or subcontracting for a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facility and personnel security clearances are required in order to be awarded and be able to perform on certain contracts for the U.S. government, which are a significant part of Tenax’s business. Tenax has obtained clearances at appropriate levels that require stringent qualifications, and Tenax may be required to seek higher-level clearances in the future. If for some reason Tenax’s security clearances are invalidated or terminated, Tenax may not be able to continue to perform under some of its contracts or be able to enter into new contracts requiring security clearances, which could affect its ability to maintain current business and to compete for and win new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industry is heavily regulated, and if Tenax fails to comply with applicable requirements, its results of operations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industry is highly regulated by multiple regulatory authorities within the U.S. government. Before Tenax makes modifications to any airframes, they must meet certain standards of airworthiness established by these regulatory authorities. New and more stringent governmental regulations may be adopted in the future that, if enacted, may have an adverse impact on Tenax. If any of Tenax’s material licenses, certificates, authorizations or approvals were revoked or suspended, its business, financial condition, liquidity and results of operations may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Violations of applicable laws or regulations by Tenax or by those with whom or through whom Tenax does business could subject Tenax to administrative, civil or criminal investigations and monetary and non-monetary penalties, including suspension and debarment, which could negatively affect its reputation and ability to conduct business and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reputation, ability to do business and financial condition, liquidity and/or results of operations may be affected by the improper conduct of its employees, agents, suppliers, subcontractors or partners.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Misconduct, fraud or other improper activities by Tenax’s employees, agents, suppliers, subcontractors or business partners could have a material adverse impact on its business and reputation. Such misconduct could include the failure to comply with federal, state, local or foreign government procurement regulations, regulations regarding the protection of classified or personal information, legislation regarding the pricing of labor and other costs in government contracts, regulations pertaining to the internal controls over financial reporting, laws and regulations relating to environmental matters, bribery of foreign government officials, lobbying or similar activities, boycotts, antitrust and any other applicable laws or regulations. In addition, misconduct involving data security lapses or inadequate cybersecurity protections resulting in the compromise of personal information or the improper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Tenax’s customers’ sensitive or classified information could result in remediation costs, regulatory sanctions against Tenax and serious harm to its reputation. Although Tenax has implemented internal policies, procedures, controls and training that are designed to prevent and detect these activities, these precautions may not prevent all misconduct and, as a result, Tenax could face unknown risks or losses. Misconduct by any of Tenax’s employees, agents, suppliers, subcontractors or business partners or Tenax’s failure to comply with applicable laws or regulations or with applicable internal policies, procedures and controls could create a deficiency in internal controls over financial reporting, subject Tenax to fines and penalties, loss of security clearance, loss of current and future customer contracts and suspension or debarment from contracting with federal, state or local government agencies, any of which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key personnel at NTC Group, and the loss of these key personnel could adversely affect Tenax’s operations, customer relationships and ability to execute its acquisition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and Taran Bakker are majority owners of Tenax and are actively engaged in overseeing Tenax’s operations, including making important decisions regarding contract pricing, hiring, capital expenditures, refinancings and strategy. Mr. Foley and Mr. Bakker also maintain networks of relationships in the aerospace and defense industry and among Tenax’s customers that are important to Tenax’s ability to maintain and grow its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Foley and Mr. Bakker are also responsible for directing Tenax’s acquisition strategy and efforts to identify and evaluate potential acquisitions. Tenax has limited internal personnel with the experience necessary to independently source, negotiate and execute acquisitions without the involvement of Mr. Foley and Mr. Bakker.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Mr. Foley or Mr. Bakker ceased to be involved at Tenax, Tenax may be unable to replace their expertise, industry knowledge and relationships on a timely basis or at all, which could disrupt Tenax’s operations, harm Tenax’s business and customer relationships, impair Tenax’s ability to secure new contracts and execute acquisitions and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Supply chain disruptions could have adverse effects on Tenax’s ability to provide certain products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ability to provide products and services to its customers requires its partners to provide a variety of components and services. In addition, Tenax is required to procure certain components and services from U.S. government-approved sources. Heightened regulatory requirements that may apply to these sources can further limit the subcontractors and suppliers Tenax may use. Legislation, regulatory changes or other governmental actions, including product certification or stewardship requirements, sourcing restrictions, tariffs, export controls, embargoes, product authenticity, cybersecurity regulation and environmental standards may all affect Tenax’s subcontractors and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Tenax’s subcontractors and suppliers experience financial and operational difficulties outside of Tenax’s direct control, which may affect their ability to deliver the components and services Tenax needs.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values for Tenax’s aviation products fluctuate, and Tenax may be unable to recover costs incurred with respect to aircraft or aircraft equipment or parts.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makes a number of assumptions when determining the recoverability of aircraft, aircraft equipment, aircraft parts and other assets which it owns in support of its customers’ requirements. These assumptions include historical sales trends, current and expected usage trends, replacement values, current and expected lease rates, maintenance expenses, residual values, future demand and future cash flows. The value of any given aircraft model, or any equipment or parts applicable thereto, can vary significantly based on supply in the marketplace. In addition, reductions in demand for these assets or declining market values, as well as differences between actual results and the assumptions Tenax uses in determining the recoverability of its assets, could result in impairment charges in future periods, may adversely affect its business, financial condition, liquidity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may not be able to recover aircraft or aircraft equipment or parts when a customer defaults on a contract, and even if Tenax is able to do so, it may have to expend significant resources in the recovery of such assets. Third-party liens on such assets could further impair Tenax’s ability to recover and sell or enter into a new contract with those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customer defaults on its obligations under a contract and does not cure such default in a timely manner, Tenax typically seeks to terminate the applicable contract and recover the aircraft or aircraft equipment or parts. If a defaulting customer contests the termination and recovery or is under court protection, enforcement of Tenax’s rights under the contract may be difficult, expensive and time-consuming. In the event the aircraft or aircraft equipment or parts are located outside of the United States, Tenax may need to obtain governmental consents to export such aircraft or aircraft equipment or parts back to the United States. As a result, the relevant asset may not generate revenue for a prolonged period. In addition, Tenax will incur direct costs associated with recovering its aircraft or aircraft equipment or parts, which may include legal and similar costs, costs of transporting, storing and insuring the aircraft or aircraft equipment or parts and costs associated with necessary maintenance and recordkeeping to make the aircraft or aircraft equipment or parts available for a new contract or sale. During this time, Tenax will not realize revenue from the aircraft or aircraft equipment or parts being recovered and will continue to be obligated to pay any debt financing related to the aircraft or aircraft equipment or parts. In addition, when a customer has protection under the U.S. Bankruptcy Code, creditors (including Tenax) are automatically stayed from enforcing their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risks associated with customer defaults and asset recovery may be further compounded where third-party liens have attached to the relevant aircraft or aircraft equipment or parts. Liens in favor of third parties may be attached to aircraft or aircraft equipment or parts Tenax owns, and these liens may secure substantial sums that may in certain circumstances exceed the value of the particular aircraft or aircraft equipment or parts to which the liens have attached. In certain jurisdictions, a lien may give the lien holder the right to detain, in limited cases sell, or cause the forfeiture of the aircraft or aircraft equipment or parts subject to the lien. Liens held by third parties may have priority over Tenax’s and its creditors’ interest in the respective aircraft or aircraft equipment or parts because the third-party liens have priority under applicable law. These liens and lien holders could impair Tenax’s ability to recover and re-contract or sell its aircraft or aircraft equipment or parts. If Tenax’s customers do not discharge these liens, Tenax may find it necessary to pay the claims secured by such liens in order to recover the aircraft or aircraft equipment or parts subject to such third-party liens.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operations would be adversely affected by a shortage of skilled personnel or work stoppages.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depends on an educated and highly skilled workforce because of the complex nature of many of its products and services. Tenax’s ability to operate successfully and meet its customers’ demands could be jeopardized if Tenax is unable to attract and retain a sufficient number of qualified personnel, including qualified licensed mechanics, to conduct its business, or if Tenax experiences a significant or prolonged work stoppage. The increasing competition for highly skilled and talented personnel in the industries in which Tenax operates could result in higher compensation costs, difficulties in maintaining a capable workforce and leadership development and succession planning challenges. These and similar events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continued availability of financing to manage its business and to execute its business strategy, and additional financing may not be available on terms acceptable to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ability to manage its business and to execute its business strategy depends, in part, on the continued availability of debt and equity capital. Access to the debt and equity capital markets may be limited by various factors, including the condition of overall credit markets, general economic factors, interest rates, state of the aviation industry, financial performance and credit ratings. Debt and equity capital may not continue to be available to Tenax on favorable terms, or at all. Tenax’s inability to obtain financing on favorable terms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operates in highly competitive markets, and competitive pressures may adversely affect 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Tenax’s business is highly competitive, and Tenax sometimes competes with larger companies that may have greater name recognition, greater financial resources and larger technical staff, as well as companies with a competitive advantage due to a small business designation. Within the aviation industry, companies have engaged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mergers and acquisitions to increase their competitive position. Tenax’s competitors may provide customers with different or greater capabilities or better contract terms than Tenax can provide, including past performance, geographic presence, price and the availability of qualified professional personnel. In addition, Tenax’s competitors may consolidate or establish teaming or other relationships among themselves or with third parties to increase their ability to address customers’ needs. If Tenax is unable to compete successfully against its current or future competitors, it may experience declines in revenue and market share, which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may need to make significant capital expenditures to keep pace with technological developments in the aviation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aviation industry, and in particular the specialized verticals in which Tenax operates, is constantly undergoing development and change, and new products, equipment and methods of repair and overhaul services are introduced on an ongoing basis. In order to keep pace with technological and other developments in its industry, Tenax sometimes needs to expend significant capital to develop information technology solutions, purchase new equipment, train its employees in the new methods of service or implement new processes to increase both efficiency and capacity. Not all projects may be implemented as anticipated as a result of various factors, including ability to meet customer specifications, delivery schedules and unique contractual requirements, supplier performance, subcontractor performance and Tenax’s ability to accurately estimate costs and timing associated with such projects. If projects do not achieve anticipated increases in efficiency or capacity, Tenax’s returns on these capital expenditures may be lower than expected. Failure to react quickly to industry trends and manage its offerings and innovation activities responsively could decrease the competitiveness of Tenax’s services, harm its reputation and negatively affect its ability to compete and attract top talent.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uses estimates in accounting for some of its contracts, and changes in its estimates could adversely affect its future financial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accounting requires judgments relative to assessing risks, including risks associated with estimating contract transaction prices and costs, determination of certain contract prices, assumptions for schedule and technical issues, customer-directed delays and reductions in scheduled deliveries and unfavorable resolutions of claims and contractual matters. Due to the size and nature of certain of Tenax’s contracts, the estimation of total costs at completion is complicated and subject to certain variables. For example, Tenax must make assumptions regarding the length of time to complete certain contracts because costs include expected increases in wages and prices for materials, and Tenax must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these judgments and estimation processes, it is possible that materially different amounts could be recorded if Tenax used different assumptions or if the underlying circumstances were to change. Changes in underlying assumptions, circumstances or estimates may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business could be negatively affected by cyber or other security threats or other disruptions.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depends on information technology and computerized systems to communicate and operate effectively. Tenax stores sensitive data including proprietary business information, intellectual property and confidential employee or other personal data on its servers and databases. Tenax also relies on third parties to host certain enterprise systems that manage and host Tenax’s data and that of its customers. Tenax’s systems and technologies, or those of third parties on which Tenax relies, could fail or become unreliable due to equipment failures, software viruses, cyber threats or cyber incidents, ransomware attacks, employee error or malfeasance, terrorist acts, natural disasters, power or telecommunications failures, political or social unrest, pandemics or other public health issues or other causes. These threats arise in some cases as a result of Tenax’s role as a defense contractor. Tenax’s customers, including the U.S. government, are increasingly requiring cybersecurity protections and mandating cybersecurity standards in its products, and Tenax has incurred and expects to continue to incur additional cost to comply with such demands.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Tenax’s systems, data or any third-party service that Tenax uses are unavailable for any reason, Tenax’s customers may experience service interruptions, which could significantly affect Tenax’s operations, reputation, business and financial results. Lack of access to Tenax’s data and that of its clients, or failure of its systems or those of its third-party service providers, may result in interruptions in Tenax’s service, all of which may cause a loss in customers, refunds and/or material harm to Tenax’s reputation and operating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can make no assurances that it will be able to mitigate, detect, prevent, timely and adequately respond to or fully recover from the negative effects of cybersecurity incidents or other cybersecurity compromises, and such cybersecurity incidents, depending on their nature and scope, could potentially result in financial loss, reputational damage, damage to Tenax’s IT systems, data loss, litigation with third parties, theft of intellectual property, fines, customer attrition, diminution in the value of Tenax’s investment in research and development and increased cybersecurity protection and remediation costs due to the increasing sophistication and proliferation of threats, which in turn could adversely affect Tenax’s competitiveness and results of operations. Any imposition of liability may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operations depend on its aircraft and hangars, and damage to, or disruption affecting, those assets could materially adversely affect its business, financial condition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aircraft inherently involves a substantial degree of risk. Tenax’s aircraft and hangars are subject to hazards including mechanical failures, crashes, collisions, human error, fires and other operational incidents. These risks may result in damage to aircraft or other property and equipment, and, in certain circumstances, personal injury or loss of life, which could give rise to liability exposure, as well as suspension or reduction of operations, reduced flight hours, the grounding of affected aircraft or entire aircraft types or limitations in available ground facilities.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accident or other incident involving Tenax’s aircraft could require the repair or replacement of the damaged asset and result in its temporary or permanent loss from service or use. Any such damage or loss of use could cause significant delays in provision of services and the loss of sales and customers, as well as result in potential liability exposure.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Tenax maintains insurance coverage to cover certain risks of losses for damage to or destruction of aircraft and for interruption of its business, such insurance may not cover specific losses, and the amount of its insurance coverage may not be adequate to cover all of its losses.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Restrictive and financial covenants in the documents governing Tenax’s existing and any future indebtedness may limit its current and future operations, particularly Tenax’s ability to respond to changes in its business or to pursue its business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current financing arrangements, including the Credit Agreement, dated as of January 7, 2026, among Tenax Holdco, LLC and the lenders party thereto (the “</w:t>
      </w:r>
      <w:r>
        <w:rPr>
          <w:rFonts w:ascii="Times New Roman PS Std;serif" w:hAnsi="Times New Roman PS Std;serif"/>
          <w:b w:val="false"/>
          <w:i w:val="false"/>
          <w:caps w:val="false"/>
          <w:smallCaps w:val="false"/>
          <w:sz w:val="20"/>
          <w:u w:val="single"/>
        </w:rPr>
        <w:t>Tenax Credit Agreement</w:t>
      </w:r>
      <w:r>
        <w:rPr>
          <w:rFonts w:ascii="Times New Roman PS Std;serif" w:hAnsi="Times New Roman PS Std;serif"/>
          <w:b w:val="false"/>
          <w:i w:val="false"/>
          <w:caps w:val="false"/>
          <w:smallCaps w:val="false"/>
          <w:sz w:val="20"/>
        </w:rPr>
        <w:t>”), and the Second Lien Credit Agreement, dated as of January 7, 2026, among Tenax Aerospace Holdings, LLC, certain other credit parties party thereto from time to time, and the lenders party thereto (the “</w:t>
      </w:r>
      <w:r>
        <w:rPr>
          <w:rFonts w:ascii="Times New Roman PS Std;serif" w:hAnsi="Times New Roman PS Std;serif"/>
          <w:b w:val="false"/>
          <w:i w:val="false"/>
          <w:caps w:val="false"/>
          <w:smallCaps w:val="false"/>
          <w:sz w:val="20"/>
          <w:u w:val="single"/>
        </w:rPr>
        <w:t>Tenax Second Lien Credit Agreement</w:t>
      </w:r>
      <w:r>
        <w:rPr>
          <w:rFonts w:ascii="Times New Roman PS Std;serif" w:hAnsi="Times New Roman PS Std;serif"/>
          <w:b w:val="false"/>
          <w:i w:val="false"/>
          <w:caps w:val="false"/>
          <w:smallCaps w:val="false"/>
          <w:sz w:val="20"/>
        </w:rPr>
        <w:t>”), require Tenax and its affiliates to comply with various restrictive covenants, and in certain cases contain financial covenants that require Tenax and its affiliates to comply with specified financial ratios and tests. Tenax’s or its affiliates’ failure to meet these covenants could result in default under these credit agreements and may result in a cross-default under other loan and debt agreements. In the event of a default and Tenax’s inability to obtain a waiver of the default, all amounts outstanding under such debt agreements could be declared immediately due and payable. Tenax’s or its affiliates’ failure to comply with these covenants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Restrictive covenants in the documents governing Tenax’s existing and any future indebtedness could adversely affect Tenax’s ability to finance its operations, make strategic acquisitions or investments, withstand a future downturn in its business or the economy in general, engage in business activities, including future opportunities, that may be in its interest, plan for or react to market conditions or otherwise execute its business strategies. In particular, the Tenax Credit Agreement and the Tenax Second Lien Credit Agreement contain change of control provisions that could delay or impair beneficial mergers and acquisitions involving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and documents incorporated by reference herein include forward-looking statements within the meaning of Section 27A of the Securities Act and Section 21E of the Exchange Act, which are made pursuant to the safe harbor provisions of the Private Securities Litigation Reform Act of 1995, as amended. These statements may reflect AIR’s expectations, beliefs, hopes, intentions or strategies regarding, among other things, the Transactions between AIR and Tenax, the expected timetable for completing the Transactions, the benefits and synergies of the Transactions and future opportunities for the combined company, as well as other statements that are not historical facts,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AIR cannot give any assurance that its expectations will be attained. AIR’s and Tenax’s actual results, liquidity and financial condition may differ from the anticipated results, liquidity and financial condition indicated in these forward-looking statements. AIR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AIR’s or Tenax’s actual results to differ, possibly materially, from expectations or estimates reflected in such forward-looking statements, including, but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complete the merger, if at all, on the anticipated terms and timing, including obtaining the requisite approvals from the AIR stockholders, regulatory approvals, consents from third parties and the satisfaction of other conditions to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certain interim operating restrictions that AIR and Tenax are subject to under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provisions in the merger agreement that limit our ability to pursue alternatives to the merger, which might discourage a third party that has an interest in acquiring all or a significant part of AIR from considering or proposing any such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unaudited pro forma condensed combined financial statements and prospective financial information included in this proxy statement/prospectus may differ materially from the actual financial condition and results of operations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inherent uncertainty in the valuation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inherent complexity and expense of combining AIR and Tenax and the risk that the anticipated benefits and cost savings of the merger may not be realized;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ability to retain and hire key personnel;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substantial transaction-related costs AIR will continue to incur in connection with the merger and the integration of AIR and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AIR will be a controlled company following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concentration of Tenax’s customer base and Tenax’s dependence on winning profitable contracts from U.S. government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legislative, regulatory and economic developments affecting AIR’s and Tenax’s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loss of key personnel at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market developments and supply chain and labor market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competitive pressures;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accounting estimates;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continued availability of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and uncertainties are more fully discussed in the section entitled “Risk Factors” beginning on page 16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Tenax nor AIR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INFORMATION ABOUT THE SPECIAL MEETING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AIR Stockholders Meeting </w:t>
      </w:r>
    </w:p>
    <w:tbl>
      <w:tblPr>
        <w:tblW w:w="9088" w:type="dxa"/>
        <w:jc w:val="left"/>
        <w:tblInd w:w="0" w:type="dxa"/>
        <w:tblLayout w:type="fixed"/>
        <w:tblCellMar>
          <w:top w:w="0" w:type="dxa"/>
          <w:left w:w="0" w:type="dxa"/>
          <w:bottom w:w="0" w:type="dxa"/>
          <w:right w:w="0" w:type="dxa"/>
        </w:tblCellMar>
      </w:tblPr>
      <w:tblGrid>
        <w:gridCol w:w="4201"/>
        <w:gridCol w:w="146"/>
        <w:gridCol w:w="4741"/>
      </w:tblGrid>
      <w:tr>
        <w:trPr/>
        <w:tc>
          <w:tcPr>
            <w:tcW w:w="42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 Bay Shore, New York 11706</w:t>
            </w:r>
          </w:p>
        </w:tc>
      </w:tr>
      <w:tr>
        <w:trPr/>
        <w:tc>
          <w:tcPr>
            <w:tcW w:w="42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Time:</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 at [•] [A.M./P.M.], Eastern Time</w:t>
            </w:r>
          </w:p>
        </w:tc>
      </w:tr>
      <w:tr>
        <w:trPr/>
        <w:tc>
          <w:tcPr>
            <w:tcW w:w="42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for the Special Meeting:</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How to Vote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as of the record date for the special meeting, you may cast your vote in one of the following ways:</w:t>
      </w:r>
    </w:p>
    <w:tbl>
      <w:tblPr>
        <w:tblW w:w="10205" w:type="dxa"/>
        <w:jc w:val="left"/>
        <w:tblInd w:w="0" w:type="dxa"/>
        <w:tblLayout w:type="fixed"/>
        <w:tblCellMar>
          <w:top w:w="0" w:type="dxa"/>
          <w:left w:w="0" w:type="dxa"/>
          <w:bottom w:w="0" w:type="dxa"/>
          <w:right w:w="0" w:type="dxa"/>
        </w:tblCellMar>
      </w:tblPr>
      <w:tblGrid>
        <w:gridCol w:w="1164"/>
        <w:gridCol w:w="146"/>
        <w:gridCol w:w="8895"/>
      </w:tblGrid>
      <w:tr>
        <w:trPr/>
        <w:tc>
          <w:tcPr>
            <w:tcW w:w="116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Person:</w:t>
            </w:r>
          </w:p>
        </w:tc>
        <w:tc>
          <w:tcPr>
            <w:tcW w:w="146" w:type="dxa"/>
            <w:tcBorders/>
          </w:tcPr>
          <w:p>
            <w:pPr>
              <w:pStyle w:val="TableContents"/>
              <w:bidi w:val="0"/>
              <w:spacing w:before="0" w:after="283"/>
              <w:jc w:val="left"/>
              <w:rPr/>
            </w:pPr>
            <w:r>
              <w:rPr/>
              <w:t> </w:t>
            </w:r>
          </w:p>
        </w:tc>
        <w:tc>
          <w:tcPr>
            <w:tcW w:w="889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attending the special meeting, you may cast your vote in person. If you plan to attend the special meeting, please be aware of the admission requirements set forth under the section entitled “Questions and Answers About the Merger and the Special Meeting — Do I need a ticket to attend the special meeting?” beginning on page ix of this proxy statement/prospectus.</w:t>
            </w:r>
          </w:p>
        </w:tc>
      </w:tr>
      <w:tr>
        <w:trPr/>
        <w:tc>
          <w:tcPr>
            <w:tcW w:w="116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Internet:</w:t>
            </w:r>
          </w:p>
        </w:tc>
        <w:tc>
          <w:tcPr>
            <w:tcW w:w="146" w:type="dxa"/>
            <w:tcBorders/>
          </w:tcPr>
          <w:p>
            <w:pPr>
              <w:pStyle w:val="TableContents"/>
              <w:bidi w:val="0"/>
              <w:spacing w:before="0" w:after="283"/>
              <w:jc w:val="left"/>
              <w:rPr/>
            </w:pPr>
            <w:r>
              <w:rPr/>
              <w:t> </w:t>
            </w:r>
          </w:p>
        </w:tc>
        <w:tc>
          <w:tcPr>
            <w:tcW w:w="889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have received a proxy card or voting instruction form may vote over the Internet by visiting the website indicated and following the instructions on the proxy card or voting instruction form.</w:t>
            </w:r>
          </w:p>
        </w:tc>
      </w:tr>
      <w:tr>
        <w:trPr/>
        <w:tc>
          <w:tcPr>
            <w:tcW w:w="116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Telephone:</w:t>
            </w:r>
          </w:p>
        </w:tc>
        <w:tc>
          <w:tcPr>
            <w:tcW w:w="146" w:type="dxa"/>
            <w:tcBorders/>
          </w:tcPr>
          <w:p>
            <w:pPr>
              <w:pStyle w:val="TableContents"/>
              <w:bidi w:val="0"/>
              <w:spacing w:before="0" w:after="283"/>
              <w:jc w:val="left"/>
              <w:rPr/>
            </w:pPr>
            <w:r>
              <w:rPr/>
              <w:t> </w:t>
            </w:r>
          </w:p>
        </w:tc>
        <w:tc>
          <w:tcPr>
            <w:tcW w:w="889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who live in the United States or Canada may submit proxies by telephone by calling 1-800-690-6903 and following the instructions.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w:t>
            </w:r>
          </w:p>
        </w:tc>
      </w:tr>
      <w:tr>
        <w:trPr/>
        <w:tc>
          <w:tcPr>
            <w:tcW w:w="116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Mail:</w:t>
            </w:r>
          </w:p>
        </w:tc>
        <w:tc>
          <w:tcPr>
            <w:tcW w:w="146" w:type="dxa"/>
            <w:tcBorders/>
          </w:tcPr>
          <w:p>
            <w:pPr>
              <w:pStyle w:val="TableContents"/>
              <w:bidi w:val="0"/>
              <w:spacing w:before="0" w:after="283"/>
              <w:jc w:val="left"/>
              <w:rPr/>
            </w:pPr>
            <w:r>
              <w:rPr/>
              <w:t> </w:t>
            </w:r>
          </w:p>
        </w:tc>
        <w:tc>
          <w:tcPr>
            <w:tcW w:w="889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have received a proxy card or voting instruction form may submit proxies by completing, signing and dating their proxy card or voting instruction form and mailing it in the accompanying pre-addressed envelope.</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and will close at 11:59 P.M. (Eastern Time) on [•], 2026. Votes cast by mail must be received in sufficient time to allow processing.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Matters to Be Voted Upon and AIR Board Recommendation </w:t>
      </w:r>
    </w:p>
    <w:tbl>
      <w:tblPr>
        <w:tblW w:w="10205" w:type="dxa"/>
        <w:jc w:val="left"/>
        <w:tblInd w:w="0" w:type="dxa"/>
        <w:tblLayout w:type="fixed"/>
        <w:tblCellMar>
          <w:top w:w="0" w:type="dxa"/>
          <w:left w:w="0" w:type="dxa"/>
          <w:bottom w:w="0" w:type="dxa"/>
          <w:right w:w="0" w:type="dxa"/>
        </w:tblCellMar>
      </w:tblPr>
      <w:tblGrid>
        <w:gridCol w:w="871"/>
        <w:gridCol w:w="146"/>
        <w:gridCol w:w="5535"/>
        <w:gridCol w:w="146"/>
        <w:gridCol w:w="1951"/>
        <w:gridCol w:w="146"/>
        <w:gridCol w:w="1410"/>
      </w:tblGrid>
      <w:tr>
        <w:trPr/>
        <w:tc>
          <w:tcPr>
            <w:tcW w:w="8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Matter</w:t>
            </w:r>
          </w:p>
        </w:tc>
        <w:tc>
          <w:tcPr>
            <w:tcW w:w="146" w:type="dxa"/>
            <w:tcBorders/>
            <w:vAlign w:val="bottom"/>
          </w:tcPr>
          <w:p>
            <w:pPr>
              <w:pStyle w:val="TableContents"/>
              <w:bidi w:val="0"/>
              <w:spacing w:before="0" w:after="283"/>
              <w:jc w:val="left"/>
              <w:rPr/>
            </w:pPr>
            <w:r>
              <w:rPr/>
              <w:t> </w:t>
            </w:r>
          </w:p>
        </w:tc>
        <w:tc>
          <w:tcPr>
            <w:tcW w:w="55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Board </w:t>
              <w:br/>
              <w:t>Recommendation</w:t>
            </w:r>
          </w:p>
        </w:tc>
        <w:tc>
          <w:tcPr>
            <w:tcW w:w="146" w:type="dxa"/>
            <w:tcBorders/>
            <w:vAlign w:val="bottom"/>
          </w:tcPr>
          <w:p>
            <w:pPr>
              <w:pStyle w:val="TableContents"/>
              <w:bidi w:val="0"/>
              <w:spacing w:before="0" w:after="283"/>
              <w:jc w:val="left"/>
              <w:rPr/>
            </w:pPr>
            <w:r>
              <w:rPr/>
              <w:t> </w:t>
            </w:r>
          </w:p>
        </w:tc>
        <w:tc>
          <w:tcPr>
            <w:tcW w:w="14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Page Reference to </w:t>
              <w:br/>
              <w:t>Proxy Statement</w:t>
            </w:r>
          </w:p>
        </w:tc>
      </w:tr>
      <w:tr>
        <w:trPr/>
        <w:tc>
          <w:tcPr>
            <w:tcW w:w="8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55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AIR common stock as merger consideration pursuant to the Amended and Restated Agreement and Plan of Merger, dated as of July 2, 2026, among AIR, Tenax and Merger Sub, a copy of which is included as Annex A to the proxy statement/prospectus.</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55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amendment to the articles of incorporation of AIR to increase the number of authorized shares of AIR common stock from 20 million to 200 million to permit issuance of a sufficient number of shares as merger consideration.</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tcPr>
          <w:p>
            <w:pPr>
              <w:pStyle w:val="TableContents"/>
              <w:bidi w:val="0"/>
              <w:spacing w:before="0" w:after="283"/>
              <w:jc w:val="left"/>
              <w:rPr/>
            </w:pPr>
            <w:r>
              <w:rPr/>
              <w:t> </w:t>
            </w:r>
          </w:p>
        </w:tc>
        <w:tc>
          <w:tcPr>
            <w:tcW w:w="55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amendment to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55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non-binding, advisory vote to approve the compensation that may be paid or become payable to AIR’s Named Executive Officers in connection with the merger.</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8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tcPr>
          <w:p>
            <w:pPr>
              <w:pStyle w:val="TableContents"/>
              <w:bidi w:val="0"/>
              <w:spacing w:before="0" w:after="283"/>
              <w:jc w:val="left"/>
              <w:rPr/>
            </w:pPr>
            <w:r>
              <w:rPr/>
              <w:t> </w:t>
            </w:r>
          </w:p>
        </w:tc>
        <w:tc>
          <w:tcPr>
            <w:tcW w:w="55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on a proposal to adjourn the special meeting, if necessary or appropriate, including to solicit additional proxies, in the event that there are not sufficient votes at the time of the special meeting to approve items 1, 2 or 3 above.</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furnished to you as an AIR stockholder as part of the solicitation of proxies by the AIR Board for use at the special meeting to consider and vote upon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PROPOSAL 1 — APPROVAL OF THE STOCK ISSUANCE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limited exceptions, Section 712 of the NYSE American Company Guide requires that our stockholders approve any issuance of shares of common stock where the issuance of common stock could result in an increase in outstanding common shares of 20% or more. In addition, Section 713(b) of the NYSE American Company Guide requires stockholder approval prior to the issuance of securities that will result in a change in control of the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AIR will issue to the Tenax Members as of immediately prior to the effective time a number of shares of AIR common stock which will result in an increase in outstanding common shares of more than 20%. In addition, completion of the merger will result in a change in control of AIR for purposes of Section 713(b) of the NYSE American Company Guide. Accordingly, the merger cannot be completed without the approval of the stock issuance proposal. Following the merger, approximately 96% of the outstanding shares of AIR common stock will be held by the Tenax Members. The merger agreement is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stock issuance proposal is a condition to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stock issuance proposal requires, in accordance with Section 713(b) of the NYSE American Company Guide,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stock issuance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stock issuance proposal. Abstentions and broker non-votes will have no effect on the outcome of this vote.</w:t>
      </w:r>
    </w:p>
    <w:p>
      <w:pPr>
        <w:pStyle w:val="TextBody"/>
        <w:keepNext w:val="tru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stock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PROPOSAL 2 — APPROVAL OF THE AUTHORIZED SHARES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shares proposal, if approved, will provide for an amendment to the articles of incorporation of AIR to increase the number of authorized shares of AIR common stock from 20 million to 200 million to permit issuance of a sufficient number of shares as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authorized shares proposal is a condition to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authorized shares proposal requires, pursuant to Section 1.8.1 of our bylaws and NRS 78.390(1)(a)(1),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authorized shares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authorized shares proposal. Under Section 1.8.1 of AIR’s bylaws, “votes cast” means all votes cast in favor of and against the proposal and does not include abstentions or broker non-votes.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authorized shares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PROPOSAL 3 — APPROVAL OF THE WRITTEN CONSENT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written consent proposal, if approved, will provide for an amendment to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written consent proposal is a condition to the consummation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5" w:name="T9915"/>
      <w:bookmarkEnd w:id="15"/>
      <w:r>
        <w:rPr>
          <w:rFonts w:ascii="Times New Roman PS Std;serif" w:hAnsi="Times New Roman PS Std;serif"/>
          <w:b/>
          <w:i w:val="false"/>
          <w:caps w:val="false"/>
          <w:smallCaps w:val="false"/>
          <w:sz w:val="20"/>
        </w:rPr>
        <w:t xml:space="preserve">PROPOSAL 4 — APPROVAL OF THE TRANSACTION COMPENSATION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14A of the Exchange Act and Rule 14a-21(c) under the Exchange Act require that the Company seek a non-binding advisory vote from its stockholders to approve the compensation that may be paid or become payable to AIR’s Named Executive Officers in connection with the merger, as disclosed in this proxy statement/prospectus, including as described in the section entitled “The Merger — Potential Payments to AIR Named Executive Officers Upon Completion of the Merger” beginning on page 52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the transaction compensation proposal is not binding upon AIR, and approval of the transaction compensation proposal is not a condition to completion of the merger. Accordingly, to the extent that AIR is contractually obligated to pay the compensation, such compensation will be payable, subject only to the conditions applicable thereto, if the merger is consummated and regardless of the outcome of the advisory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transaction compensation proposal requires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transaction compensation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transaction compensation proposal. Abstentions and broker non-votes will have no effect on the outcome of this vote. As noted above, this vote is advisory and non-binding and will not be determinative of whether such compensation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transaction compensation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6" w:name="T9916"/>
      <w:bookmarkEnd w:id="16"/>
      <w:r>
        <w:rPr>
          <w:rFonts w:ascii="Times New Roman PS Std;serif" w:hAnsi="Times New Roman PS Std;serif"/>
          <w:b/>
          <w:i w:val="false"/>
          <w:caps w:val="false"/>
          <w:smallCaps w:val="false"/>
          <w:sz w:val="20"/>
        </w:rPr>
        <w:t xml:space="preserve">PROPOSAL 5 — APPROVAL OF THE ADJOURNMENT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5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propose to adjourn the special meeting for a period of not more than 30 days, if necessary or appropriate, including if we fail to receive a sufficient number of votes to approve the stock issuance proposal, the authorized shares proposal or the written consent proposal, for the purpose of soliciting additional proxies to approve the stock issuance proposal, the authorized shares proposal and/or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special meeting is so adjourned, stockholders who have already submitted their proxies will be able to revoke them at any time prior to their use. If you sign and return a proxy and do not indicate how you wish to vote on any proposal, or if you indicate that you wish to vote in favor of the stock issuance proposal, the authorized shares proposal or the written consent proposal but do not indicate a choice on the adjournment proposal, your shares of common stock will be voted in favor of the adjournment proposal. If you indicate, however, that you wish to vote against the stock issuance proposal, the authorized shares proposal or the written consent proposal, your shares of common stock will only be voted in favor of the adjournment proposal if you indicate that you wish to vote in favor of that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that the votes cast “FOR” the adjournment proposal exceed the votes cast “AGAINST” the adjournment proposal.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has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7"/>
      <w:bookmarkEnd w:id="17"/>
      <w:r>
        <w:rPr>
          <w:rFonts w:ascii="Times New Roman PS Std;serif" w:hAnsi="Times New Roman PS Std;serif"/>
          <w:b/>
          <w:i w:val="false"/>
          <w:caps w:val="false"/>
          <w:smallCaps w:val="false"/>
          <w:sz w:val="20"/>
        </w:rPr>
        <w:t xml:space="preserve">PARTIES TO THE MERGER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r>
      <w:r>
        <w:rPr>
          <w:rFonts w:ascii="Times New Roman PS Std;serif" w:hAnsi="Times New Roman PS Std;serif"/>
          <w:b w:val="false"/>
          <w:i w:val="false"/>
          <w:caps w:val="false"/>
          <w:smallCaps w:val="false"/>
          <w:sz w:val="20"/>
        </w:rPr>
        <w:t>1460 Fifth Avenue</w:t>
        <w:br/>
        <w:t>Bay Shore, NY 11706</w:t>
        <w:b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158 people.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is listed on the NYSE American under the symbol “AIRI”.</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r>
      <w:r>
        <w:rPr>
          <w:rFonts w:ascii="Times New Roman PS Std;serif" w:hAnsi="Times New Roman PS Std;serif"/>
          <w:b w:val="false"/>
          <w:i w:val="false"/>
          <w:caps w:val="false"/>
          <w:smallCaps w:val="false"/>
          <w:sz w:val="20"/>
        </w:rPr>
        <w:t>400 West Parkway Place, Suite 201</w:t>
        <w:br/>
        <w:t>Ridgeland, MS 39157</w:t>
        <w:br/>
        <w:t>(601) 352-1107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 Founded in 2001, Tenax is privately owned and headquartered in Ridgeland, Mississippi. Tenax currently employs approximately 245 people.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Transitory Air Sub LLC</w:t>
        <w:br/>
      </w:r>
      <w:r>
        <w:rPr>
          <w:rFonts w:ascii="Times New Roman PS Std;serif" w:hAnsi="Times New Roman PS Std;serif"/>
          <w:b w:val="false"/>
          <w:i w:val="false"/>
          <w:caps w:val="false"/>
          <w:smallCaps w:val="false"/>
          <w:sz w:val="20"/>
        </w:rPr>
        <w:t>1460 Fifth Avenue</w:t>
        <w:br/>
        <w:t>Bay Shore, NY 11706</w:t>
        <w:b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merger and the transactions contemplated thereby.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transactions contemplated thereby that is important to you. You are encouraged to read the merger agreement carefully and in its entirety. This section is not intended to provide you with any factual information about AIR or Tenax. Such information can be found elsewhere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9" w:name="T9919"/>
      <w:bookmarkEnd w:id="19"/>
      <w:r>
        <w:rPr>
          <w:rFonts w:ascii="Times New Roman PS Std;serif" w:hAnsi="Times New Roman PS Std;serif"/>
          <w:b/>
          <w:i w:val="false"/>
          <w:caps w:val="false"/>
          <w:smallCaps w:val="false"/>
          <w:sz w:val="20"/>
        </w:rPr>
        <w:t xml:space="preserve">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at the effective time of the merger, Merger Sub will be merged with and into Tenax, with Tenax surviving the merger as a wholly owned subsidiary of AIR.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0" w:name="T9920"/>
      <w:bookmarkEnd w:id="20"/>
      <w:r>
        <w:rPr>
          <w:rFonts w:ascii="Times New Roman PS Std;serif" w:hAnsi="Times New Roman PS Std;serif"/>
          <w:b/>
          <w:i w:val="false"/>
          <w:caps w:val="false"/>
          <w:smallCaps w:val="false"/>
          <w:sz w:val="20"/>
        </w:rPr>
        <w:t xml:space="preserve">Merger Consideration; Adjustments to the Merger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Tenax units issued and outstanding immediately prior to the effective time will be converted into the right to receive the portion of the merger consideration allocated in respect thereof in Tenax’s capitalization schedule, which Tenax is required to deliver to AIR no less than two business days prior to the closing.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of AIR common stock to be issued to the Tenax Members and, as applicable, reserved for issuance to the Tenax Warrantholders upon the exercise of their warrants.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merger consideration is allocable to the Tenax Warrantholders. AIR will reserve for future issuance, upon exercise of the warrants, a number of shares of AIR common stock equal to the total merger consideration that would be payable to the Tenax Warrantholders if all Tenax Warrantholders exercised their warrants (if and to the extent they remain outstanding) immediately prior to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1" w:name="T9921"/>
      <w:bookmarkEnd w:id="21"/>
      <w:r>
        <w:rPr>
          <w:rFonts w:ascii="Times New Roman PS Std;serif" w:hAnsi="Times New Roman PS Std;serif"/>
          <w:b/>
          <w:i w:val="false"/>
          <w:caps w:val="false"/>
          <w:smallCaps w:val="false"/>
          <w:sz w:val="20"/>
        </w:rPr>
        <w:t xml:space="preserve">Ownership of the Combined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Accordingly, the merger will result in substantial dilution to existing AIR stockholders, and the Tenax Members will have a controlling interest in AIR following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2" w:name="T9922"/>
      <w:bookmarkEnd w:id="22"/>
      <w:r>
        <w:rPr>
          <w:rFonts w:ascii="Times New Roman PS Std;serif" w:hAnsi="Times New Roman PS Std;serif"/>
          <w:b/>
          <w:i w:val="false"/>
          <w:caps w:val="false"/>
          <w:smallCaps w:val="false"/>
          <w:sz w:val="20"/>
        </w:rPr>
        <w:t xml:space="preserve">Redemption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3" w:name="T9923"/>
      <w:bookmarkEnd w:id="23"/>
      <w:r>
        <w:rPr>
          <w:rFonts w:ascii="Times New Roman PS Std;serif" w:hAnsi="Times New Roman PS Std;serif"/>
          <w:b/>
          <w:i w:val="false"/>
          <w:caps w:val="false"/>
          <w:smallCaps w:val="false"/>
          <w:sz w:val="20"/>
        </w:rPr>
        <w:t xml:space="preserve">Financing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that, at the closing of the merger, Tenax fund the repayment of AIR’s net senior and subordinated debt, amounting in the aggregate to approximately $26.233 million as of May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relies on loans from a syndicate of banks to fund its operations. As of June 30, 2026, Tenax’s available borrowing capacity under its existing credit facility was $27 million. Tenax intends to seek, and believes it will be able to obtain, the necessary lender approvals to increase its borrowing capacity under its existing credit facility to refinance AIR’s net senior and subordinated debt or to otherwise obtain commitments from its lenders to satisfy its cash requirements at the closing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could affect Tenax’s ability to finance its obligations under the merger agreement include: (1) a downturn in the economy or markets that affects Tenax’s bank syndicate’s willingness to lend funds to Tenax; (2) the loss of one or more significant Tenax contracts without replacement business, which would reduce or limit Tenax’s borrowing capacity under its existing credit facility; and (3) one or more members of Tenax’s bank syndicate being forced to leave, or voluntarily leaving, the syndicate. Despite these risks, Tenax believes that, even if the bank syndicate were not willing to lend sufficient funds for Tenax to complete the merger, Tenax has access to other sources of debt and/or equity to refinance AIR’s net indebtedness. Those additional sources include other portfolio companies controlled by NTC Group principals, other past and present debt providers to Tenax and other portfolio companies controlled by NTC Group principals, and NTC Group principals. While Tenax believes it will have access to these and other potential financing sources by the closing of the merger, Tenax has not obtained, and is not currently seeking, binding committed financing for the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prior to closing, Tenax or one or more of its affiliates (which may include one or more Tenax Members) may, in their discretion, provide interim financial assistance to AIR to support its near-term liquidity needs, including in circumstances where AIR would otherwise require additional working capital or liquidity to continue operations during the period between signing and closing. Any such financial assistance would be for general corporate and working capital purposes and may take the form of one or more loan agreements, promissory notes, convertible promissory notes or other debt or equity instruments, with or without voting rights, with terms to be negotiated and which may include customary interest and repayment provisions. As of the date of this proxy statement/prospectus, no such arrangements have been entered into, no terms have been agreed to and there can be no assurance that any such financial assistance will be provided.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4" w:name="T9924"/>
      <w:bookmarkEnd w:id="24"/>
      <w:r>
        <w:rPr>
          <w:rFonts w:ascii="Times New Roman PS Std;serif" w:hAnsi="Times New Roman PS Std;serif"/>
          <w:b/>
          <w:i w:val="false"/>
          <w:caps w:val="false"/>
          <w:smallCaps w:val="false"/>
          <w:sz w:val="20"/>
        </w:rPr>
        <w:t xml:space="preserve">Reverse Stock Split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341 of the NYSE American Company Guide, if a listed issuer engages in a reverse merger, it will be eligible for continued listing on the NYSE American only if the post-transaction entity meets the standards for initial listing. Companies listed on the NYSE American are subject to initial listing standards that require, among other things, a minimum share price of $4.00 per share under Section 101 of the NYSE American Company Guide. As of the date of this proxy statement/prospectus, the trading price of AIR’s common stock on the NYSE American is less than $4.00 per share, and there is no assurance it will not be below $4.00 per share at the effective time, meaning the combined company would fail to meet the standards for initial listing on the NYSE American. As a result, prior to the closing but, assuming the authorized shares proposal is approved at the special meeting, after the related amendment to the articles of incorporation of AIR to increase the number of authorized shares of AIR common stock from 20 million to 200 million becomes effective, AIR will file a certificate of change with the Nevada Secretary of State to effect, pursuant to NRS 78.207, a reverse stock split of the issued and outstanding shares of AIR common stock at a ratio of one (1) post-split share of AIR common stock for every five (5) pre-split shares of AIR common stock, while simultaneously reducing the number of then authorized shares of AIR common stock under the articles of incorporation of AIR by a corresponding factor, from 200 million to 40 million, with any fractional share of AIR common stock otherwise resulting from the split rounded up to the nearest whole share. Pursuant to NRS 78.207, the AIR Board has the authority to effect such a reverse stock split without stockholder approval. As a result of the reverse stock split, no fractional shares will be issued and any AIR stockholder otherwise entitled to a fractional share will be rounded up to the nearest whole share.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5" w:name="T9925"/>
      <w:bookmarkEnd w:id="25"/>
      <w:r>
        <w:rPr>
          <w:rFonts w:ascii="Times New Roman PS Std;serif" w:hAnsi="Times New Roman PS Std;serif"/>
          <w:b/>
          <w:i w:val="false"/>
          <w:caps w:val="false"/>
          <w:smallCaps w:val="false"/>
          <w:sz w:val="20"/>
        </w:rPr>
        <w:t xml:space="preserve">Background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continuously evaluates AIR’s strategic direction with the objective of enhancing long-term stockholder value. As part of this ongoing process, the AIR Board regularly considers strategic alternatives, including organic growth opportunities and initiatives, capital allocation strategies, strategic partnerships and potential mergers or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these evaluations, in the first half of 2025, the AIR Board considered, among other things, (i) AIR’s ability to refinance its existing senior indebtedness with Webster Bank, National Association (“</w:t>
      </w:r>
      <w:r>
        <w:rPr>
          <w:rFonts w:ascii="Times New Roman PS Std;serif" w:hAnsi="Times New Roman PS Std;serif"/>
          <w:b w:val="false"/>
          <w:i w:val="false"/>
          <w:caps w:val="false"/>
          <w:smallCaps w:val="false"/>
          <w:sz w:val="20"/>
          <w:u w:val="single"/>
        </w:rPr>
        <w:t>Webster Bank</w:t>
      </w:r>
      <w:r>
        <w:rPr>
          <w:rFonts w:ascii="Times New Roman PS Std;serif" w:hAnsi="Times New Roman PS Std;serif"/>
          <w:b w:val="false"/>
          <w:i w:val="false"/>
          <w:caps w:val="false"/>
          <w:smallCaps w:val="false"/>
          <w:sz w:val="20"/>
        </w:rPr>
        <w:t>”) and its subordinated debt; (ii) the going concern opinion issued by AIR’s registered public accounting firm for the fiscal year ended December 31, 2024; (iii) the performance of AIR’s operations in the first half of 2025; (iv) management’s business plans and operating outlook; and (v) the potential to enhance stockholder value through one or more strategic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AIR Board evaluated these considerations, on June 2, 2025, AIR engaged Kipps, an investment banking firm experienced in and highly regarded in the aerospace industry, to act as financial advisor on an exclusive basis in connection with a possible transaction involving AIR, including an acquisitive merger or sale of AIR or substantially all of its assets. Beginning in mid-June 2025 and continuing into August 2025, representatives of Kipps worked closely with AIR management to develop a strategy to pursue and effectuate a potential transaction and to prepare marketing materials describing AIR and its strategic attributes. AIR also engaged Baker Tilly US, LLP (“</w:t>
      </w:r>
      <w:r>
        <w:rPr>
          <w:rFonts w:ascii="Times New Roman PS Std;serif" w:hAnsi="Times New Roman PS Std;serif"/>
          <w:b w:val="false"/>
          <w:i w:val="false"/>
          <w:caps w:val="false"/>
          <w:smallCaps w:val="false"/>
          <w:sz w:val="20"/>
          <w:u w:val="single"/>
        </w:rPr>
        <w:t>Baker Tilly</w:t>
      </w:r>
      <w:r>
        <w:rPr>
          <w:rFonts w:ascii="Times New Roman PS Std;serif" w:hAnsi="Times New Roman PS Std;serif"/>
          <w:b w:val="false"/>
          <w:i w:val="false"/>
          <w:caps w:val="false"/>
          <w:smallCaps w:val="false"/>
          <w:sz w:val="20"/>
        </w:rPr>
        <w:t>”), an internationally recognized firm of independent accountants, to prepare a quality of earnings analysis to facilitate review of AIR’s historical financial statements by potential transaction counterparties.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June 2025, at the direction of the AIR Board, representatives of Kipps began contacting potential transaction counterparties. The AIR Board did not restrict the scope of such outreach, and representatives of Kipps contacted prospective financial and strategic counterparties, including competitors of AIR in the aerospace and defense industry. Over the course of June, July and August 2025, in consultation with the AIR Board, representatives of Kipps contacted 220 prospective counterparties (72 strategic counterparties, including private equity-backed portfolio companies, and 148 private equity groups). Of those contacted, 107 potential counterparties (29 strategic counterparties and 78 private equity groups) entered into confidentiality agreements with AIR and received a confidential information presentation describing the business and operational and financial attributes of AIR. These potential counterparties also received an instruction letter inviting them to submit a non-binding indication of interest (an “</w:t>
      </w:r>
      <w:r>
        <w:rPr>
          <w:rFonts w:ascii="Times New Roman PS Std;serif" w:hAnsi="Times New Roman PS Std;serif"/>
          <w:b w:val="false"/>
          <w:i w:val="false"/>
          <w:caps w:val="false"/>
          <w:smallCaps w:val="false"/>
          <w:sz w:val="20"/>
          <w:u w:val="single"/>
        </w:rPr>
        <w:t>IOI</w:t>
      </w:r>
      <w:r>
        <w:rPr>
          <w:rFonts w:ascii="Times New Roman PS Std;serif" w:hAnsi="Times New Roman PS Std;serif"/>
          <w:b w:val="false"/>
          <w:i w:val="false"/>
          <w:caps w:val="false"/>
          <w:smallCaps w:val="false"/>
          <w:sz w:val="20"/>
        </w:rPr>
        <w:t>”) to acquire all of the outstanding equity of AIR’s four subsidiaries or all or substantially all of the assets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8, 2025, Michael Recca, on behalf of AIR, met with Thomas C. Foley, Sr., founder and partner of NTC Group, a private investment firm that controls Tenax. Following the meeting, Mr. Foley submitted a non-binding IOI dated August 18, 2025, proposing that AIR and Tenax combine through a reverse merger transaction. In his letter, Mr. Foley proposed that AIR acquire Tenax for 90 million shares of AIR common stock, which would be issued to NEH and the other Tenax Members. This proposal was based on valuing (i) AIR at 7.5 times its estimated Run-Rate EBITDA for the second half of 2025 minus AIR’s net debt and (ii) Tenax at 9.0 times its estimated fourth quarter 2025 Run-Rate EBITDA minus net debt.1 In addition, for AIR stockholders who preferred to receive cash, Mr. Foley proposed that Tenax would offer to purchase shares of AIR common stock from such AIR stockholders at a price per share at a premium to the then market price of AIR’s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end of August 2025, eight potential counterparties (four strategic counterparties and four private equity groups), including Tenax, submitted written, preliminary, non-binding IOIs, which included indications of the value such potential counterparties attributed to AIR or its operating assets. Seven of these potential counterparties expressed interest in acquiring substantially all of the operating assets and assuming the liabilities of AIR, with enterprise valuations ranging from $28,000,000 to $55,000,000. Based on the content of the IOIs submitted by the potential counterparties and input obtained from preliminary discussions held by representatives of Kipps with such potential counterparties, AIR determined to invite seven potential counterparties (including Tenax) to continue participating in the sales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24, 2025, the AIR Board established a special committee (the “</w:t>
      </w:r>
      <w:r>
        <w:rPr>
          <w:rFonts w:ascii="Times New Roman PS Std;serif" w:hAnsi="Times New Roman PS Std;serif"/>
          <w:b w:val="false"/>
          <w:i w:val="false"/>
          <w:caps w:val="false"/>
          <w:smallCaps w:val="false"/>
          <w:sz w:val="20"/>
          <w:u w:val="single"/>
        </w:rPr>
        <w:t>Special Committee</w:t>
      </w:r>
      <w:r>
        <w:rPr>
          <w:rFonts w:ascii="Times New Roman PS Std;serif" w:hAnsi="Times New Roman PS Std;serif"/>
          <w:b w:val="false"/>
          <w:i w:val="false"/>
          <w:caps w:val="false"/>
          <w:smallCaps w:val="false"/>
          <w:sz w:val="20"/>
        </w:rPr>
        <w:t>”), consisting of three independent directors — Messrs. Michael Porcelain, Michael Brand and David Buonanno — to facilitate the AIR Board’s evaluation of potential strategic transactions. The Special Committee was established to, among other things, review, evaluate and oversee discussions relating to potential strategic alternatives, including a possible merger or sale of AIR, and to provide advice and recommendations to the full AIR Board with respect to such matters.</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carrying out its responsibilities, the Special Committee was authorized to work with management and AIR’s financial and legal advisors, evaluate the strategic rationale and financial terms of any proposed transaction, consider potential conflicts of interest and assess whether any proposed transaction would be fair to, and in the best interests of, AIR and its stockholders. Upon its formation on September 24, 2025, the Special Committee requested that Mr. Michael Recca, AIR’s Director of Special Projects, assist the Special Committee in connection with its evaluation of potential strategic transactions. In this role, Mr. Recca provided information and support at the </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Because Run-Rate EBITDA reflects estimated future results, both AIR and Tenax are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direction of the Special Committee, including facilitating the preparation and review of financial and operational materials, coordinating the flow of information between management, the Special Committee, the AIR Board and AIR’s advisors and responding to requests for information from the Special Committee and its advisors. Mr. Recca did not participate in any deliberations or decision-making of the Special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Committee met periodically from October 2025 to December 2025 to review developments relating to the sourcing and evaluation of strategic alternatives and reported its findings and recommendations to the full AIR Board for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September 2025 and continuing through mid-October 2025, AIR conducted due diligence meetings, gave facility tours and had preliminary business discussions with the seven potential counterparties. After participating in management meetings in September 2025, two of the potential counterparties elected not to proceed further and five of the seven potential counterparties, which included Tenax, elected to continue in the process. In early October 2025, in coordination with representatives of Kipps, AIR established a virtual data room to facilitate due diligence investigations by the remaining five potential counterparties.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24, 2025, AIR received a letter from Mr. Foley proposing that AIR acquire Tenax for 90 million shares of AIR common stock, which would be issued to NEH and the other Tenax Members. This proposal was based on valuing (i) AIR at 7.5 times its estimated Run-Rate EBITDA for the second half of 2025 minus net debt and (ii) Tenax at 9.0 times its estimated fourth quarter 2025 Run-Rate EBITDA minus AIR’s net debt.2 In addition, for AIR stockholders who preferred to receive cash, Mr. Foley proposed that Tenax would offer to purchase shares of AIR common stock from such AIR stockholders at a cash price of $3.50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20, 2025, representatives of Kipps contacted Mr. Foley to provide an update on the AIR sales process and timeline and to confirm whether Tenax remained interested in continuing discussions with AIR. In this discussion, representatives of Kipps advised Mr. Foley that AIR had completed management meetings with all active bidders and that letters were sent seeking final proposals from the five remaining bidders no later than November 13, 2025. Mr. Foley indicated to the representatives of Kipps participating in the discussion that he was only interested in a “reverse merger” transaction structure, pursuant to which the Tenax Members would receive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a potential counterparty (“</w:t>
      </w:r>
      <w:r>
        <w:rPr>
          <w:rFonts w:ascii="Times New Roman PS Std;serif" w:hAnsi="Times New Roman PS Std;serif"/>
          <w:b w:val="false"/>
          <w:i w:val="false"/>
          <w:caps w:val="false"/>
          <w:smallCaps w:val="false"/>
          <w:sz w:val="20"/>
          <w:u w:val="single"/>
        </w:rPr>
        <w:t>Counterparty A</w:t>
      </w:r>
      <w:r>
        <w:rPr>
          <w:rFonts w:ascii="Times New Roman PS Std;serif" w:hAnsi="Times New Roman PS Std;serif"/>
          <w:b w:val="false"/>
          <w:i w:val="false"/>
          <w:caps w:val="false"/>
          <w:smallCaps w:val="false"/>
          <w:sz w:val="20"/>
        </w:rPr>
        <w:t>”) expressed a desire to continue to evaluate a transaction with AIR and submitted a proposal that did not provide a determinate valuation of AIR. Counterparty A also verbally advised representatives of Kipps that it was reviewing other strategic transactions, including a possible sale of its own stock or assets that would affect its ability to pursue and finance an acquisition of AIR, and asked for an extension of the period in which it could submit a bid.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Tenax submitted a proposal for a combination of AIR and Tenax in which the Tenax Members would receive 98 million shares of AIR common stock. In addition, Tenax offered to purchase from AIR’s stockholders at the time of the closing of the transaction up to one million shares of AIR common stock for $4.00 per share and to grant all AIR stockholders immediately prior to the closing of the transaction a right to put their shares to the combined company approximately one year after the closing of the transaction at a price of $4.25 per share, if, during a 30-day measurement period prior, the average daily price of the shares were below $4.25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14, 2025, another potential counterparty (“</w:t>
      </w:r>
      <w:r>
        <w:rPr>
          <w:rFonts w:ascii="Times New Roman PS Std;serif" w:hAnsi="Times New Roman PS Std;serif"/>
          <w:b w:val="false"/>
          <w:i w:val="false"/>
          <w:caps w:val="false"/>
          <w:smallCaps w:val="false"/>
          <w:sz w:val="20"/>
          <w:u w:val="single"/>
        </w:rPr>
        <w:t>Counterparty B</w:t>
      </w:r>
      <w:r>
        <w:rPr>
          <w:rFonts w:ascii="Times New Roman PS Std;serif" w:hAnsi="Times New Roman PS Std;serif"/>
          <w:b w:val="false"/>
          <w:i w:val="false"/>
          <w:caps w:val="false"/>
          <w:smallCaps w:val="false"/>
          <w:sz w:val="20"/>
        </w:rPr>
        <w:t>”), an independent wealth fund, submitted a proposal for the acquisition of substantially all of the assets and assumption of all of the liabilities of AIR for an enterprise valuation of $50,000,000, subject to further due diligence and a price adjustment based upon AIR’s net working capital as of closing.</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17, 2025, representatives of Kipps participated in a conference with the AIR Board in which it provided analyses of the bids submitted by Tenax and Counterparty B. The representatives of Kipps also described the proposal received from Counterparty A, noting for the AIR Board the lack of a clear valuation in Counterparty A’s proposal.</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Because Run-Rate EBITDA reflects estimated future results, both AIR and Tenax are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balance of November 2025, at the direction of the Special Committee, representatives of Kipps engaged in discussions with each of the three potential counterparties to clarify their respective proposals. During discussions with Counterparty A, Counterparty A did not provide clarity regarding its valuation of AIR, or whether it could consummate a transaction in light of the uncertainty of its own strategic plans, and repeatedly requested additional time to clarify its intentions.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uncertainty expressed by Counterparty A and its inability to move forward on a timely basis, and in light of the AIR Board’s belief that, due to a deterioration in AIR’s financial performance and concerns about AIR’s ability to refinance its debt obligations, AIR needed to consummate a transaction promptly, AIR determined not to pursue a transaction with Counterparty A, and representatives of Kipps informed Counterparty A of AIR’s decision during the week of November 24, 2025. Subsequently, Counterparty A did not seek to continue discussions regarding a transaction with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mid-November 2025, the Special Committee directed AIR’s management to prepare updated financial forecasts for 2025 and 2026 (the “</w:t>
      </w:r>
      <w:r>
        <w:rPr>
          <w:rFonts w:ascii="Times New Roman PS Std;serif" w:hAnsi="Times New Roman PS Std;serif"/>
          <w:b w:val="false"/>
          <w:i w:val="false"/>
          <w:caps w:val="false"/>
          <w:smallCaps w:val="false"/>
          <w:sz w:val="20"/>
          <w:u w:val="single"/>
        </w:rPr>
        <w:t>November 2025 Forecast</w:t>
      </w:r>
      <w:r>
        <w:rPr>
          <w:rFonts w:ascii="Times New Roman PS Std;serif" w:hAnsi="Times New Roman PS Std;serif"/>
          <w:b w:val="false"/>
          <w:i w:val="false"/>
          <w:caps w:val="false"/>
          <w:smallCaps w:val="false"/>
          <w:sz w:val="20"/>
        </w:rPr>
        <w:t>”) to be provided by Kipps to Counterparty B and Tenax and to request best-and-final offers. The November 2025 Forecast was provided to Counterparty B and Tenax to enable them to make their best-and-final offers on the basis of the latest information available to the AIR Board. The November 2025 Forecast projected a deterioration in the performance of AIR and negative cash flows from operations through the first half of 2026, which was likely to result in a need on the part of AIR to increase its debt to maintain operations. During a conference on November 21, 2025, the Special Committee advised the rest of the AIR Board of the implications of the November 2025 Forecast, and the AIR Board discussed the various alternatives then available, including whether AIR could refinance all of its outstanding debt and, if so, whether the terms of any such refinancing would be acceptable.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week of November 24, 2025, subsequent to the receipt by Tenax of the November 2025 Forecast, Messrs. Porcelain and Recca met with Mr. Foley and other representatives of Tenax to discuss the November 2025 Forecast, prospects for a turn-around in AIR’s performance, the economics of the earlier Tenax proposals and the strategic benefits to Tenax of a transaction with AIR. Messrs. Porcelain and Recca advised Mr. Foley that, given there were other active bidders and the differences in the structures of the bids, as well as certain benefits to AIR from a sale of assets that would be unavailable if it consummated the reverse merger transaction proposed by Tenax, it was important for Tenax to consider meaningfully improving its proposal to ensure that it would be viewed as Tenax’s highest and best offer by the AIR Board. During the discussion, Messrs. Porcelain and Recca advised Mr. Foley that a transaction structure offering both (i) an optional upfront cash consideration to AIR’s stockholders and (ii) a full cash put right would be viewed favorably and would be likely to receive serious consideration by the AIR Board. This feedback was provided by Messrs. Porcelain and Recca to convey the types of transaction features that the AIR Board and the Special Committee believed could enhance certainty of value and address stockholder liquidity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 2025, in response to the request for final bids, Counterparty B submitted a proposal for the acquisition of substantially all of the assets and assumption of all of the liabilities of AIR for an enterprise valuation of $55,000,000. Counterparty B’s proposal also included a net working capital adjustment that would have reduced net cash consideration to AIR’s stockholders by approximately $2,000,000 to $4,000,000.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 2025, Mr. Foley sent a letter to AIR reiterating Tenax’s proposal for a transaction pursuant to which Tenax would combine with AIR, with AIR surviving as a public company and the Tenax Members receiving 94.4 million shares of AIR common stock in exchange for 100% of the membership interests in Tenax. To provide potential liquidity to those stockholders of AIR seeking cash, Tenax offered to purchase from AIR’s stockholders at the time of the closing of the transaction up to one million shares of AIR common stock for $4.10 per share and to grant all holders of shares of AIR common stock immediately prior to the closing of the proposed transaction a right to require the combined company to purchase their shares, exercisable on or about the first anniversary of the merger at a price of $4.40 per share, if, during a 30-day measurement period, the average daily price of the shares is below $4.40 per share. Tenax also proposed that all funded debt of AIR would be repaid in connection with the merger, unless the holders of such debt elected to remain lenders to the combined company. In making its offer, based upon information previously provided by AIR, Tenax assumed AIR would have EBITDA of $6 million for 2026. As an alternative, if the reverse merger proposal made by Tenax was not acceptable to AIR, Mr. Foley proposed that Tenax would combine with AIR, with the Tenax Members receiving 94.4 million shares of AIR following a sale of AIR’s operating assets. As part of this alternative transaction, for AIR stockholders who prefer to receive cash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the combined company following the merger would purchase up to one million shares of AIR common stock from such AIR stockholders for $4.10 per share plus the amount determined by subtracting $20.5 million from AIR’s net cash remaining at the time of the merger and dividing that result by 5,000,000. The combined company would also grant all holders of AIR shares immediately prior to the closing of the proposed transaction a right to require the combined company to purchase their shares, exercisable on or about the first anniversary of the merger at a price equal to 107.3% of the per share amount resulting from the above formula, if, during a 30-day measurement period, the average daily price of the shares were below such put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 2025, after receiving the proposals from each of Counterparty B and Tenax, the Special Committee met to review and discuss various aspects of the proposals, which discussion included an evaluation of the potential benefits of a reverse merger transaction compared to a sale of AIR’s operating assets. The Special Committee considered the strategic, financial and execution risks associated with each alternative. Based on these discussions, the Special Committee advised the AIR Board that it believed a sale of only the operating assets would be difficult to achieve in a way that would enhance stockholder value and recommended that a full AIR Board meeting be convened to consider the two alternatives.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5, 2025, the AIR Board met at AIR’s Bay Shore facility. All of the directors were present throughout the meeting. Representatives of Kipps joined the meeting via video conference. Representatives of Kipps distributed materials summarizing recent communications with the remaining bidders. In addition, representatives of Kipps provided preliminary and illustrative analyses of the bids submitted by Tenax and Counterparty B. Given the uncertainties of the discussions with Counterparty A, representatives of Kipps were not able to provide a meaningful financial analysis of any bid Counterparty A might make. Members of AIR management and AIR’s advisors discussed with the AIR Board various aspects related to the structural differences between the bids of Counterparty B and Tenax, one being a sale of assets and the other a merger, including possible tax implications of both transactions and certain uncertainties associated with a sale of assets, which could, in counsel’s opinion, result in AIR’s shares being delisted by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its meeting on December 5, the AIR Board reviewed and compared the proposals received from the two remaining potential counterparties, Counterparty B, being an independent wealth fund, and Tenax, a successful participant in the aerospace and defense industry. The AIR Board noted that, based on its familiarity with the aerospace and defense industry and its financial resources, Tenax appeared better positioned to consummate a transaction on an accelerated timeline. In contrast, Counterparty B had indicated it would need to conduct extensive further due diligence, including an assessment of AIR’s working capital requirements prior to proceeding with a potential transaction. Counterparty B’s proposal included a potentially significant valuation deduction via a net working capital adjustment, which, combined with any reduction in price Counterparty B might seek as a result of its due diligence and the deterioration in AIR’s operating performance, caused the AIR Board to believe that ultimately the purchase price actually to be received from Counterparty B was likely to be significantly below its non-binding offer and that a favorable transaction was more likely to be consummated with Tenax as opposed to Counterparty B. In addition, given the successful track record of Tenax and its experience in the aerospace industry, the AIR Board believed that Tenax might succeed in increasing the value of the shares held by AIR’s stockholders and, in all events, was offering stockholders an opportunity to realize liquidity following a one-year holding period. Moreover, the AIR Board believed that the acquisition of AIR through a reverse merger was a central component of the plans of Tenax, as compared to the plans of Counterparty B, which was pursuing other unrelated acquisitions concurrently with the AIR transaction and which, at that time, had no other investments or experience in the aerospace industry. In addition, the AIR Board discussed that Tenax would be able to benefit from the expertise of AIR’s management and other personnel and any synergies between products and processes. On this basis, the AIR Board determined to move forward with Tenax to attempt to enter into a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8, 2025, the AIR Board and representatives of Kipps met in Greenwich, Connecticut with Mr. Foley and members of the management of Tenax to further discuss Tenax’s business, financial performance and prospects. At the meeting, Mr. Foley gave a presentation regarding the current business of Tenax, its plans for expansion and Tenax’s financial wherewithal. Members of the AIR Board determined that Tenax had the financial capacity to complete the transaction envisioned and support AIR through an anticipated period of negative cash flow. In addition, at the meeting on December 8, 2025, the AIR Board concluded that Tenax and its team were dedicated to the aerospace industry and that AIR’s stockholders could benefit from Tenax’s expertise.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9, 2025, upon being advised that AIR desired to move forward with a potential transaction with Tenax, Tenax advised that it required that AIR enter into an exclusivity agreement with Tenax before committing to expend the funds necessary to continue and potentially complete the process. On December 15, 2025, AIR and Tenax entered into an exclusivity agreement with respect to the proposed transaction. The exclusivity agreement provided for an exclusivity period through January 31, 2026, which would automatically extend through February 15, 2026 unless AIR delivered written notice of termination to Tenax on February 1, 2026. Pursuant to the exclusivity agreement, AIR was required to immediately cease all existing discussions and negotiations with any other party with respect to a potential acquisition of AIR and was prohibited from soliciting, encouraging or providing information to any other potential acquiror during the exclusivity period. Subsequent to the execution of the exclusivity agreement, the parties continued to conduct due diligence and financial reviews of their respective businesses.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2025, on behalf of AIR, Messrs. Porcelain, Scott Glassman and Recca and representatives of Kipps and Baker Tilly participated in a video conference with Mr. Foley and representatives of Forvis Mazars, LLP, on behalf of Tenax, to discuss various financial measurements of the operations of AIR and decisions made by AIR as to the allocation of certain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2025, Mr. Foley met with Messrs. Porcelain, Recca and Eric Lee of AIR at AIR’s facility in Barkhamsted, Connecticut to discuss operational issues at AIR’s facility in Barkhamsted.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2025, Cravath, Swaine &amp; Moore LLP (“</w:t>
      </w:r>
      <w:r>
        <w:rPr>
          <w:rFonts w:ascii="Times New Roman PS Std;serif" w:hAnsi="Times New Roman PS Std;serif"/>
          <w:b w:val="false"/>
          <w:i w:val="false"/>
          <w:caps w:val="false"/>
          <w:smallCaps w:val="false"/>
          <w:sz w:val="20"/>
          <w:u w:val="single"/>
        </w:rPr>
        <w:t>Cravath</w:t>
      </w:r>
      <w:r>
        <w:rPr>
          <w:rFonts w:ascii="Times New Roman PS Std;serif" w:hAnsi="Times New Roman PS Std;serif"/>
          <w:b w:val="false"/>
          <w:i w:val="false"/>
          <w:caps w:val="false"/>
          <w:smallCaps w:val="false"/>
          <w:sz w:val="20"/>
        </w:rPr>
        <w:t>”), counsel to Tenax, delivered an initial draft of a term sheet setting forth the key provisions of the proposed transaction (the “</w:t>
      </w:r>
      <w:r>
        <w:rPr>
          <w:rFonts w:ascii="Times New Roman PS Std;serif" w:hAnsi="Times New Roman PS Std;serif"/>
          <w:b w:val="false"/>
          <w:i w:val="false"/>
          <w:caps w:val="false"/>
          <w:smallCaps w:val="false"/>
          <w:sz w:val="20"/>
          <w:u w:val="single"/>
        </w:rPr>
        <w:t>December 22 Term Sheet</w:t>
      </w:r>
      <w:r>
        <w:rPr>
          <w:rFonts w:ascii="Times New Roman PS Std;serif" w:hAnsi="Times New Roman PS Std;serif"/>
          <w:b w:val="false"/>
          <w:i w:val="false"/>
          <w:caps w:val="false"/>
          <w:smallCaps w:val="false"/>
          <w:sz w:val="20"/>
        </w:rPr>
        <w:t>”) to Ellenoff Grossman &amp; Schole LLP (“</w:t>
      </w:r>
      <w:r>
        <w:rPr>
          <w:rFonts w:ascii="Times New Roman PS Std;serif" w:hAnsi="Times New Roman PS Std;serif"/>
          <w:b w:val="false"/>
          <w:i w:val="false"/>
          <w:caps w:val="false"/>
          <w:smallCaps w:val="false"/>
          <w:sz w:val="20"/>
          <w:u w:val="single"/>
        </w:rPr>
        <w:t>EGS</w:t>
      </w:r>
      <w:r>
        <w:rPr>
          <w:rFonts w:ascii="Times New Roman PS Std;serif" w:hAnsi="Times New Roman PS Std;serif"/>
          <w:b w:val="false"/>
          <w:i w:val="false"/>
          <w:caps w:val="false"/>
          <w:smallCaps w:val="false"/>
          <w:sz w:val="20"/>
        </w:rPr>
        <w:t>”), counsel to AIR. The December 22 Term Sheet provided that the transaction would be structured as a reverse triangular merger, pursuant to which a newly formed merger subsidiary of AIR would merge with and into Tenax, with Tenax surviving as a wholly owned subsidiary of AIR. The provisions of the December 22 Term Sheet generally were consistent with those contained in the Tenax letter of December 2, 2025, and provided a specific formula to determine the number of shares of AIR to be issued to the Tenax Members and the prices at which the combined company would (i) commence a tender offer for one million shares of AIR common stock upon consummation of the merger and (ii) redeem those shares put by holders of AIR’s common stock approximately one year after the merger. Specifically, the December 22 Term Sheet provided that AIR would issue 94.4 million shares of AIR common stock to the Tenax Members, subject to adjustment based upon (y) the number of shares of common stock and common stock equivalents AIR issued prior to consummation of the merger, other than an agreed upon pool to be awarded to AIR management, and (z) the excess of AIR’s outstanding indebtedness above $24.6 million at the time of completion of the merger. The December 22 Term Sheet contained other terms and provisions customary for a transaction such as the merger, including provisions with respect to the conduct of the business of AIR and Tenax pending the merger, a “no-shop” provision, the obligation of certain AIR stockholders and Tenax Members to support the proposed transaction, the right of the AIR Board to exercise its fiduciary rights and respond to a superior proposal, the conditions to each party’s obligation to consummate the merger, and the break-up fees and expense reimbursements to be paid to each party upon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2025, Messrs. Glassman, Porcelain and Recca and other representatives of AIR participated in a video conference with Kipps and representatives of Tenax during which the parties further discussed financial aspects of the operations of AIR and the potential impacts to the ongoing business of various fixed price 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28, 2025, EGS delivered a revised draft term sheet to Cravath that proposed revisions to certain of the economic and structural terms of the December 22 Term Sheet, including with respect to the mechanics for adjusting the merger consideration and the pricing of the tender offer and related stockholder liquidity rights, including AIR’s right to issue equity and equity derivatives during the period subsequent to execution of the merger agreement prior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2026, Cravath delivered a further revised draft term sheet to EGS (the “</w:t>
      </w:r>
      <w:r>
        <w:rPr>
          <w:rFonts w:ascii="Times New Roman PS Std;serif" w:hAnsi="Times New Roman PS Std;serif"/>
          <w:b w:val="false"/>
          <w:i w:val="false"/>
          <w:caps w:val="false"/>
          <w:smallCaps w:val="false"/>
          <w:sz w:val="20"/>
          <w:u w:val="single"/>
        </w:rPr>
        <w:t>January 2 Term Sheet</w:t>
      </w:r>
      <w:r>
        <w:rPr>
          <w:rFonts w:ascii="Times New Roman PS Std;serif" w:hAnsi="Times New Roman PS Std;serif"/>
          <w:b w:val="false"/>
          <w:i w:val="false"/>
          <w:caps w:val="false"/>
          <w:smallCaps w:val="false"/>
          <w:sz w:val="20"/>
        </w:rPr>
        <w:t>”), which reflected continued discussions between the parties and further refinement of the proposed transaction structure and economic terms, including the introduction of a debt-adjusted framework for determining merger consideration and stockholder liquidity pricing.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5, 2026, the AIR Board and representatives of Kipps reviewed in detail the January 2 Term Sheet. During the week of January 5, 2026, Mr. Porcelain spoke with Mr. Foley regarding certain of the provisions of the January 2 Term Sheet. Shortly thereafter, AIR and Tenax determined that the parties had sufficiently clarified the key terms of the contemplated transaction, and the parties would begin to draft definitive documents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20, 2026, Mr. Foley and other representatives of Tenax met with members of AIR management to review the most recent financial forecasts that had been prepared by AIR and AIR’s plans for improving operations going forward.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January and February 2026, the parties continued to review each other’s businesses and exchanged documents in connection with their respective due diligence efforts.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2026, the AIR Board met to review in detail the formula for adjusting the merger consideration contained in the January 2 Term Sheet. During the course of the meeting, it was noted that the adjustments would be based upon any issuances by AIR of equity and equity derivative securities prior to consummation of the merger and any increase in the amount of AIR’s debt above an agreed upon floor, consistent with the forecasts previously provided to Tenax. During the meeting, representatives of Kipps reviewed preliminary and illustrative scenarios illustrating the impact on the number of shares to be issued based on various assumed increases in AIR’s outstanding indebtedness. In addition, Messrs. Glassman and Recca discussed certain operational issues at AIR and the likely need to increase debt to maintain operations over the first half of 2026. Based upon the presentations, consistent with previous discussions among the directors and officers of AIR, the AIR Board determined that it was probable that the adjustments would result in the issuance of more shares to Tenax than the 94.4 million shares referenced in the January 2 Term Sheet. The AIR Board also determined that it was probable that the price to be received by AIR’s stockholders for shares they might tender in the tender offer to be conducted at the time of the merger or redeem one year after the merger would be less than the prices in the January 2 Term Sheet. At the meeting, each of the AIR Board members confirmed that he understood that AIR’s debt was likely to increase in the foreseeable future and the impact this would have on the adjustment formula that determined the number of shares to be issued to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30, 2026, Cravath delivered an initial draft of the original merger agreement (the “</w:t>
      </w:r>
      <w:r>
        <w:rPr>
          <w:rFonts w:ascii="Times New Roman PS Std;serif" w:hAnsi="Times New Roman PS Std;serif"/>
          <w:b w:val="false"/>
          <w:i w:val="false"/>
          <w:caps w:val="false"/>
          <w:smallCaps w:val="false"/>
          <w:sz w:val="20"/>
          <w:u w:val="single"/>
        </w:rPr>
        <w:t>January 30 Merger Agreement</w:t>
      </w:r>
      <w:r>
        <w:rPr>
          <w:rFonts w:ascii="Times New Roman PS Std;serif" w:hAnsi="Times New Roman PS Std;serif"/>
          <w:b w:val="false"/>
          <w:i w:val="false"/>
          <w:caps w:val="false"/>
          <w:smallCaps w:val="false"/>
          <w:sz w:val="20"/>
        </w:rPr>
        <w:t>”) to EGS.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EGS and Cravath conferred regarding certain timing and procedural issues with respect to the January 30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after conferring with AIR management, EGS delivered a revised draft of the original merger agreement to Cravath (the “</w:t>
      </w:r>
      <w:r>
        <w:rPr>
          <w:rFonts w:ascii="Times New Roman PS Std;serif" w:hAnsi="Times New Roman PS Std;serif"/>
          <w:b w:val="false"/>
          <w:i w:val="false"/>
          <w:caps w:val="false"/>
          <w:smallCaps w:val="false"/>
          <w:sz w:val="20"/>
          <w:u w:val="single"/>
        </w:rPr>
        <w:t>February 5 Merger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AIR Board held a meeting at which EGS reviewed the February 5 Merger Agreement for the directors and certain provisions were discussed in detail. It was noted that the ultimate tax structure of the proposed transaction had yet to be agreed upon, as Tenax was still examining the tax implications of different alternatives and that there would be no financial impact to AIR’s existing stockholders from either alternative structure. In addition, Messrs. Recca and Porcelain again reviewed how the number of shares to be issued to the Tenax Members and the price to be received for shares tendered or redeemed by existing AIR stockholders would be determined, focusing on the impact of increases in AIR’s debt. During the course of this discussion, the directors reviewed the status of AIR’s operations, current cash requirements and likely requirements over the next twelve months.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7, 2026, a further revised draft of the original merger agreement responsive to certain concerns noted by EGS and AIR was received from Cravath.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morning of February 9, 2026, the parties and their respective counsel participated in a video conference, which focused on outstanding due diligence items, the anticipated delivery dates for such materials, drafting of forms of ancillary agreements to be prepared prior to execution of the original merger agreement and other actions that would need to be accomplished in order to execute the original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2026, Cravath delivered a further revised draft of the original merger agreement (the “</w:t>
      </w:r>
      <w:r>
        <w:rPr>
          <w:rFonts w:ascii="Times New Roman PS Std;serif" w:hAnsi="Times New Roman PS Std;serif"/>
          <w:b w:val="false"/>
          <w:i w:val="false"/>
          <w:caps w:val="false"/>
          <w:smallCaps w:val="false"/>
          <w:sz w:val="20"/>
          <w:u w:val="single"/>
        </w:rPr>
        <w:t>February 11 Merger Agreement</w:t>
      </w:r>
      <w:r>
        <w:rPr>
          <w:rFonts w:ascii="Times New Roman PS Std;serif" w:hAnsi="Times New Roman PS Std;serif"/>
          <w:b w:val="false"/>
          <w:i w:val="false"/>
          <w:caps w:val="false"/>
          <w:smallCaps w:val="false"/>
          <w:sz w:val="20"/>
        </w:rPr>
        <w:t>”) that included a more detailed schedule for the closing of the merger and exchange of the financial information necessary to compute the number of AIR shares to be issued to the Tenax Members, as well as the prices to be paid in the tender offer and upon exercise of the Redemption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13, 2026, the AIR Board held a videoconference meeting at which senior AIR management and representatives of EGS and Kipps were present (the “</w:t>
      </w:r>
      <w:r>
        <w:rPr>
          <w:rFonts w:ascii="Times New Roman PS Std;serif" w:hAnsi="Times New Roman PS Std;serif"/>
          <w:b w:val="false"/>
          <w:i w:val="false"/>
          <w:caps w:val="false"/>
          <w:smallCaps w:val="false"/>
          <w:sz w:val="20"/>
          <w:u w:val="single"/>
        </w:rPr>
        <w:t>February 13 Board Meeting</w:t>
      </w:r>
      <w:r>
        <w:rPr>
          <w:rFonts w:ascii="Times New Roman PS Std;serif" w:hAnsi="Times New Roman PS Std;serif"/>
          <w:b w:val="false"/>
          <w:i w:val="false"/>
          <w:caps w:val="false"/>
          <w:smallCaps w:val="false"/>
          <w:sz w:val="20"/>
        </w:rPr>
        <w:t>”). Prior to the February 13 Board Meeting, the AIR Board had been provided with the February 11 Merger Agreement. A representative of EGS reviewed with the AIR Board the nature and scope of the AIR Board’s fiduciary duties in the context of evaluating the February 11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February 13 Board Meeting, representatives of Kipps presented their financial analysis and rendered to the AIR Board Kipps’s oral opinion that as of that date and based upon and subject to the assumptions, limitations, qualifications and conditions described in Kipps’s written opinion (a draft of which had been provided before the AIR Board meeting), the unadjusted redemption price of $4.21 was fair, from a financial point of view, to the holders of AIR common stock (the “</w:t>
      </w:r>
      <w:r>
        <w:rPr>
          <w:rFonts w:ascii="Times New Roman PS Std;serif" w:hAnsi="Times New Roman PS Std;serif"/>
          <w:b w:val="false"/>
          <w:i w:val="false"/>
          <w:caps w:val="false"/>
          <w:smallCaps w:val="false"/>
          <w:sz w:val="20"/>
          <w:u w:val="single"/>
        </w:rPr>
        <w:t>Kipps Oral Fairness Opinion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recognized that the actual redemption price would be determined pursuant to the original merger agreement and calculated based on a formula set forth in the original merger agreement prior to closing. AIR management instructed Kipps to assume that AIR’s net indebtedness at closing would equal $24,600,000, resulting in a calculated unadjusted redemption price of $4.21 per share, though the AIR Board determined that it would be likely that AIR’s net indebtedness at closing would exceed $24,600,000 and the amount of AIR’s net indebtedness as of December 31, 2025. The AIR Board permitted this assumption to enable Kipps to provide the analyses supporting its opinion, which the AIR Board could then use in considering the alternatives available to AIR in light of what the AIR Board believed AIR’s net indebtedness would be through the balance of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and representatives of EGS and Kipps discussed reasons for accepting the terms offered by Tenax rather than remaining independent or resuming negotiations with another party. As part of this discussion, members of the AIR Board and representatives of Kipps offered their perspectives on the terms of the February 11 Merger Agreement, including the potential liquidity through the tender offer and Redemption Rights, subject to the terms and conditions thereof. In particular, the grant of the Redemption Rights would allow current stockholders to retain their shares and potentially benefit from any increase in the price of the AIR common stock, while providing an opportunity to receive the agreed upon redemption price if the trading price of AIR common stock declined. The AIR Board also noted that the revenues of AIR remained depressed and that Webster Bank had recently announced its acquisition by Santander Bank and was exiting the asset based lending business, and accordingly was not inclined to extend AIR’s credit facility. On that basis, the AIR Board noted that, if AIR did not complete the merger, it likely would need to seek to raise additional capital to fund operations, whether through debt or equity financing. The AIR Board recognized that the terms of any debt would be less favorable to AIR than those of its current credit facility and, if AIR sought to offer equity, in light of its current performance, the price likely would be substantially below the then-current trading price of AIR’s common stock. The AIR Board also noted that Kipps, an internationally recognized investment banking firm in the aerospace and defense industries, had made a significant effort to market AIR, contacting 220 prospective counterparties, of which only 8 submitted non-binding indications of interest in moving forward with an acquisition of AIR. Following such discussion and deliberation, the AIR Board unanimously (i) determined that the February 11 Merger Agreement and the transactions contemplated thereby were fair to and in the best interests of AIR and its stockholders, (ii) adopted the February 11 Merger Agreement and approved the transaction documents thereunder and the transactions contemplated thereby and (iii) resolved to recommend that AIR’s stockholders vote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its determination, the AIR Board considered the limitations of the Kipps Oral Fairness Opinion, including that the opinion was based upon an assumed amount of AIR’s net indebtedness and AIR’s financial results as of December 31, 2025, and therefore did not reflect subsequent developments. In addition, the AIR Board had been advised by management that AIR’s business was expected to deteriorate further in 2026 and that as a result of anticipated increases in AIR’s indebtedness, the number of shares to be issued upon consummation of the merger agreement would likely exceed the number of shares that would be issued based upon AIR’s financial statements as of December 31, 2025. Management also advised the AIR Board of the significant risks and uncertainties regarding AIR’s ability to obtain the capital necessary to maintain its operations, including the timing and terms on which such capital might be available. In light of these considerations, the AIR Board recognized that the analyses underlying the Kipps Oral Fairness Opinion were based on assumptions that might not reflect AIR’s future financial condition and concluded that entering into the merger agreement, even if the eventual redemption price was materially lower than the value implied by such analysis, was in the best interests of AIR and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conclusion of the February 13 meeting of the AIR Board, AIR received from Cravath a further revised draft of the original merger agreement (the “</w:t>
      </w:r>
      <w:r>
        <w:rPr>
          <w:rFonts w:ascii="Times New Roman PS Std;serif" w:hAnsi="Times New Roman PS Std;serif"/>
          <w:b w:val="false"/>
          <w:i w:val="false"/>
          <w:caps w:val="false"/>
          <w:smallCaps w:val="false"/>
          <w:sz w:val="20"/>
          <w:u w:val="single"/>
        </w:rPr>
        <w:t>February 13 Merger Agreement</w:t>
      </w:r>
      <w:r>
        <w:rPr>
          <w:rFonts w:ascii="Times New Roman PS Std;serif" w:hAnsi="Times New Roman PS Std;serif"/>
          <w:b w:val="false"/>
          <w:i w:val="false"/>
          <w:caps w:val="false"/>
          <w:smallCaps w:val="false"/>
          <w:sz w:val="20"/>
        </w:rPr>
        <w:t>”). The changes from the February 11 Merger Agreement were largely ministerial, and were intended to permit holders of certain warrants issued by Tenax to elect to delay exercising such warrants until after consummation of the merger without otherwise affecting the terms of the merger agreement. In addition, the February 13 Merger Agreement reflected an increase in the target amount of AIR common stock used in the formula for determining the Debt Adjusted AIR Share Price, which resulted in a lower implied Debt Adjusted AIR Share Price and, accordingly, a lower implied redemption price. EGS distributed the February 13 Merger Agreement, together with a summary to the members of the AIR Board. To ensure that each director understood the revisions and continued to support proceeding with the merger, an additional meeting of the AIR Board was held at 4:00 p.m. Eastern time on February 16, 2026, which was attended by all of the directors, senior management and representatives of EGS. EGS reviewed for the directors all of the revisions in the February 13 Merger Agreement. Following discussion of the revisions, the AIR Board concluded there were no substantive changes from the February 11 Merger Agreement that might affect the benefits of the merger to the AIR stockholders and resolved to approve the February 13 Merger Agreement, and confirmed that all actions taken by the AIR Board at its meeting on February 13 remained in the best interests of AIR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this meeting, Messrs. Porcelain and Foley confirmed that both parties were prepared to move forward, and the original merger agreement was executed.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2026, before the opening of trading on the NYSE American, AIR and Tenax issued a joint press release announcing the execution of the original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that same date, Kipps delivered a written opinion and updated presentation, each dated February 17, 2026, confirming that as of the date of such opinion, and based upon and subject to the assumptions, limitations, qualifications and conditions set forth therein, the unadjusted redemption price of $4.18 was fair, from a financial point of view, to the holders of AIR common stock (the “</w:t>
      </w:r>
      <w:r>
        <w:rPr>
          <w:rFonts w:ascii="Times New Roman PS Std;serif" w:hAnsi="Times New Roman PS Std;serif"/>
          <w:b w:val="false"/>
          <w:i w:val="false"/>
          <w:caps w:val="false"/>
          <w:smallCaps w:val="false"/>
          <w:sz w:val="20"/>
          <w:u w:val="single"/>
        </w:rPr>
        <w:t>Kipps Written Fairness Opinion</w:t>
      </w:r>
      <w:r>
        <w:rPr>
          <w:rFonts w:ascii="Times New Roman PS Std;serif" w:hAnsi="Times New Roman PS Std;serif"/>
          <w:b w:val="false"/>
          <w:i w:val="false"/>
          <w:caps w:val="false"/>
          <w:smallCaps w:val="false"/>
          <w:sz w:val="20"/>
        </w:rPr>
        <w:t>”). The Kipps Written Fairness Opinion reflected a decrease from the $4.21 unadjusted redemption price used by Kipps in rendering the Kipps Oral Fairness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February, March and April of 2026, AIR, Tenax and their respective legal counsel collaborated in drafting a preliminary proxy statement relating to the merger. On May 5, 2026, AIR filed a preliminary proxy statement with the SEC relating to the merger. On May 19, 2026, SEC staff informed AIR’s legal counsel that the SEC would not be commenting on the preliminary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June 2026, AIR and Tenax discussed amending the original merger agreement to, among other things, replace the net indebtedness-based formula for determining the merger consideration with a fixed number of shares of AIR common stock, eliminate the previously contemplated tender offer, effect a reverse stock split of AIR common stock prior to the closing, and file a registration statement on Form S-4 with respect to the shares of AIR common stock to be issued to the Tenax Members as merger consideration. These revisions were intended to provide greater certainty as to the merger consideration and to facilitate the combined company’s satisfaction of the initial listing requirements of the NYSE American, including the requirement that shares of common stock have a minimum price of $4.00 per share and the requirement that the combined company have an aggregate market value of unrestricted publicly-held shares of at least $15 million. On June 25, 2026, the AIR Board met and approved the proposed revised commercial terms.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Cravath delivered a draft of the merger agreement (the “</w:t>
      </w:r>
      <w:r>
        <w:rPr>
          <w:rFonts w:ascii="Times New Roman PS Std;serif" w:hAnsi="Times New Roman PS Std;serif"/>
          <w:b w:val="false"/>
          <w:i w:val="false"/>
          <w:caps w:val="false"/>
          <w:smallCaps w:val="false"/>
          <w:sz w:val="20"/>
          <w:u w:val="single"/>
        </w:rPr>
        <w:t>June 29 Merger Agreement</w:t>
      </w:r>
      <w:r>
        <w:rPr>
          <w:rFonts w:ascii="Times New Roman PS Std;serif" w:hAnsi="Times New Roman PS Std;serif"/>
          <w:b w:val="false"/>
          <w:i w:val="false"/>
          <w:caps w:val="false"/>
          <w:smallCaps w:val="false"/>
          <w:sz w:val="20"/>
        </w:rPr>
        <w:t xml:space="preserve">”) to EGS which, among other things, (i) set the merger consideration at 126,900,000 shares of AIR common stock (which number will be adjusted to 25,380,000 shares after giving effect to the proposed amendment to the articles of incorporation of AIR contemplated by the authorized shares proposal and the subsequent reverse stock split described in this proxy statement/prospectus); (ii) revised the definition of Debt Adjusted AIR Share Price to be fixed at $3.05 ($15.25 after giving effect to the reverse stock split), rather than calculated pursuant to a formula based on AIR net indebtedness; (iii) eliminated the tender offer that the parties previously contemplated AIR would commence following the closing; and (iv) included a requirement for AIR to file a registration statement on Form S-4 with respect to the shares of AIR common stock to be issued to the Tenax Members as merger consideration and added a condition to closing that such registration statement have become effective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Act and not be subject to any stop order. The June 29 Merger Agreement further provided that, if AIR effected the reverse stock split or any other subdivision, stock dividend, split, combination, recapitalization, reclassification or similar change to its common stock on or after February 16, 2026 and prior to the closing, the merger consideration, the Debt Adjusted AIR Share Price and the other amounts payable under the merger agreement would be appropriately and equitably adjusted to preserve the same economic effect for the Tenax Members. Later that day EGS provided comments on the June 29 Merger Agreement. On June 30, 2026, Cravath delivered a revised draft of the amended and restated merger agreement to EGS (the “</w:t>
      </w:r>
      <w:r>
        <w:rPr>
          <w:rFonts w:ascii="Times New Roman PS Std;serif" w:hAnsi="Times New Roman PS Std;serif"/>
          <w:b w:val="false"/>
          <w:i w:val="false"/>
          <w:caps w:val="false"/>
          <w:smallCaps w:val="false"/>
          <w:sz w:val="20"/>
          <w:u w:val="single"/>
        </w:rPr>
        <w:t>June 30 Merger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the AIR Board held a meeting at which representatives of EGS reviewed the June 30 Merger Agreement and the revisions from the original merger agreement. During the course of the meeting the AIR Board, management and EGS discussed reasons for accepting the revised terms set forth in the merger agreement and other alternatives available to AIR. During the discussion, amongst other items, members of management noted the dilution to the current AIR stockholders that would occur as a result of the merger, the fact that the merger agreement required that AIR amend its articles of incorporation to permit stockholder action by written consent under conditions specified in the proposed resolution, that the current holders of AIR common stock would continue to be afforded the opportunity to cause the combined company to redeem their shares pursuant to the redemption rights agreement, subject to the terms and conditions thereof, and that the revised terms appeared to provide the most certain path to meeting the initial listing requirements of NYSE American as opposed to other possible actions. Following discussion, the AIR Board unanimously (i) determined that the June 30 Merger Agreement and the Transactions contemplated thereby were fair to and in the best interests of AIR and its stockholders, (ii) adopted the June 30 Merger Agreement and approved the transaction documents and the Transactions and (iii) resolved to recommend that AIR’s stockholders vote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July 2, 2026, following the meeting of the AIR Board, AIR, Merger Sub and Tenax entered into the merger agreement which amended and restated the original merger agreement in its entirety.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6" w:name="T9926"/>
      <w:bookmarkEnd w:id="26"/>
      <w:r>
        <w:rPr>
          <w:rFonts w:ascii="Times New Roman PS Std;serif" w:hAnsi="Times New Roman PS Std;serif"/>
          <w:b/>
          <w:i w:val="false"/>
          <w:caps w:val="false"/>
          <w:smallCaps w:val="false"/>
          <w:sz w:val="20"/>
        </w:rPr>
        <w:t xml:space="preserve">Recommendation of the AIR Board; AIR’s 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meeting held on July 2, 2026, the AIR Board unanimously (i) determined that the merger agreement and the Transactions are fair to and in the best interests of AIR and its stockholders; (ii) adopted the merger agreement and approved the transaction documents and the Transactions; (iii) resolved to recommend that the stockholders of AIR vote in favor of the stock issuance proposal, the authorized shares proposal and the written consent proposal, in each case, on the terms and subject to the conditions set forth in the merger agreement; and (iv) directed that such matters be submitted to the stockholders of AIR for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recommends that you vote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issuance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authorized shares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written consent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transaction compensation proposal and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adjournment proposal</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Transactions, the AIR Board consulted with AIR’s management and legal and financial advisors to AIR and, in reaching its decision, the AIR Board considered a number of factors, both positive and negative, and potential benefits and risks involved with the merger agreement and the Transactions. Throughout 2025 and the first half of 2026, the AIR Board had considered AIR’s financial performance, AIR’s ability to service and refinance its existing indebtedness and, in light of these circumstances, the need to pursue a strategic transaction. In June 2025, the AIR Board initiated a process to pursue a transaction that would enhance value for AIR’s stockholders. The decision of the AIR Board to enter into the merger agreement was the result of careful consideration by the Board of numerous factors weighing positively in favor of the merger, including the following principal factors: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began the process of soliciting potential transaction counterparties in June 2025 and Kipps contacted 220 potential counterparties, and only eight potential counterparties submitted written preliminary proposals, confirming that the pool of potential counterparties was limited;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 the potential counterparties that submitted proposals, only Tenax proposed a reverse merger that would enable AIR’s stockholders to realize a benefit from AIR’s status as a company listed on the NYSE American;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transaction structures, such as an asset sale, may have subjected AIR to delisting from the NYSE American, thereby eliminating any perceived value attributable to its status as a listed company;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significantly higher revenues;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increased resources to invest in future acquisitions and other growth opportunities in comparison to AIR on a stand-alone basis;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the financial resources to enable it to access the credit markets at rates more favorable to AIR than those that are likely to be available to AIR on a stand-alone basis;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resulting equity stake in the combined company to be held by AIR’s stockholders upon completion of the merger and the ability of AIR’s stockholders to elect to require the combined company to redeem their shares, which are the result of arm’s-length negotiations;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AIR Board’s belief that the merger consideration and the structure of the transaction represent Tenax’s best and final offer;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potential opportunities for the combined company to solicit and receive contract awards are greater than the opportunities currently available to AIR on a stand-alone basis;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Transactions provide AIR stockholders with a continuing equity stake in the combined company that provides AIR stockholders the opportunity to realize potential future share price growth and the potential for liquidity through Redemption Rights if they elect to cause the combined company to redeem their shares of AIR common stock;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AIR Board’s knowledge of AIR’s business, operations, financial condition, earnings and prospects and its knowledge of Tenax’s business, operations, financial condition, earnings and prospects, based on the results of AIR’s due diligence review of Tenax;</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conditions of the merger agreement, including the commitments by both AIR and Tenax to complete the Transactions and the likelihood of closing;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obligation of Tenax to consummate the closing under the merger agreement is not subject to a financing condition, and the AIR Board’s determination that Tenax has sufficient financial resources to cover (i) payment of AIR’s existing credit facilities and (ii) the fees and expenses reasonably expected to be incurred in connection with the merger;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number of approvals required from regulatory agencies and the likelihood that such approvals will be received without the imposition of terms and conditions that adversely affect the business and financial results of the combined company;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does not preclude a third party from making an unsolicited proposal for a competing transaction with AIR and that, under specified circumstances, AIR may furnish non-public information to and enter into discussions with such a third party regarding the competing transaction and the AIR Board may withdraw or modify its recommendations to our stockholders regarding the merger, including a recommendation to terminate the merger agreement in favor of entering into a competing transaction (subject to 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also weighed the factors described above against a number of risks and other factors identified in its deliberations as weighing negatively against the merger,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conduct of AIR’s business during the period between the execution of the merger agreement and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the completion of the merger, including management’s time and energy and potential opportunity costs, and the risk of the failure to realize the benefits expected to be obtained in connection with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any failure to complete the merger, including potential termination fees and stockholder and market reactions;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inherent in the combination of two businesses of the size and complexity of AIR and Tenax, including disruption to their respective businesses and commercial relationships, and the possible diversion of management attention for an extended period of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upon completion of the merger, the AIR Board will be composed of eight directors, with six of such directors identified by the Tenax Members and the balance subject to the approval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after the merger, holders of the common stock of AIR as of immediately prior to the effective time of the merger would collectively hold only approximately 4% of the common stock of the combined company on a fully diluted basis, and the combined company would effectively be controlled by a majority stockholder;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dilution of the overall interest of the public stockholders in the combined company following the merger and the resulting diminution in their aggregate interest in the future growth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lack of a public market for the membership interests of Tenax makes it difficult to evaluate the fairness of the merger and the Tenax Members may receive consideration in the merger that is more than the fair market value of their membership interests;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with respect to certain aspects of the business of Tenax and the AIR Board’s lack of deep experience with the business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with respect to certain aspects of the business of AIR and the lack of deep experience with the business of AIR on the part of the management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precludes AIR from actively soliciting alternative proposals;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termination fee and the obligation of AIR to reimburse Tenax for certain expenses may discourage third parties that might otherwise be interested in a business combination with, or acquisition of, AIR from making alternative proposals.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also considered the interests that the executive officers and directors of AIR have with respect to the merger in addition to their interests as stockholders of AIR generally (see the section entitled “— Interests of AIR’s Directors and Executive Officers in the Merger” beginning on page 50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foregoing discussion sets forth the principal factors considered by the AIR Board in reaching its recommendation, it is not intended to be exhaustive and may not include all of the factors considered by the AIR Board, and each director may have considered different factors or given different weight to each factor. The above factors are not presented in any order of priority. In view of the variety of factors, the amount of information and the complexity of the matters considered, the AIR Board did not find it practicable to, and did not, make specific assessments of, or assign relative weights to, the specific factors considered in reaching its recommendation. The explanation of the reasoning of the AIR Board and certain information presented in this section are forward-looking in nature and should be read in light of the factors discussed in the section entitled “Cautionary Statement Regarding Forward-Looking Statements” beginning on page 32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the AIR Board unanimously (i) determined that the merger agreement, the merger and the other Transactions are fair to and in the best interests of AIR and its stockholders and (ii) authorized, approved and declared advisable the merger agreement, the merger and the other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7" w:name="T9927"/>
      <w:bookmarkEnd w:id="27"/>
      <w:r>
        <w:rPr>
          <w:rFonts w:ascii="Times New Roman PS Std;serif" w:hAnsi="Times New Roman PS Std;serif"/>
          <w:b/>
          <w:i w:val="false"/>
          <w:caps w:val="false"/>
          <w:smallCaps w:val="false"/>
          <w:sz w:val="20"/>
        </w:rPr>
        <w:t xml:space="preserve">Interests of AIR’s Directors and Executive Officers in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AIR Board, AIR stockholders should be aware that AIR’s directors and executive officers have interests in the proposed merger that are different from, or in addition to, any interests they may have as stockholders. The AIR Board was aware of the different or additional interests set forth below (other than any interests that arose following AIR’s entry into the merger agreement) and considered such interests along with other matters in approving the merger agreement and the transactions contemplated by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executive officers for the purpose of the discussion below are Scott Glassman (Acting Chief Executive Officer and President) and Brian Drisgula (Vice President of Finance). In accordance with SEC rules, this discussion also covers former directors and executive officers of AIR who served in such capacity at any time since January 1, 2025, which consists solely of Luciano Melluzzo (former President and Chief Executive Officer).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Subordinated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Taglich and Robert Taglich, directors of AIR, hold subordinated notes in the aggregate principal amount of $4,871,000 (the “</w:t>
      </w:r>
      <w:r>
        <w:rPr>
          <w:rFonts w:ascii="Times New Roman PS Std;serif" w:hAnsi="Times New Roman PS Std;serif"/>
          <w:b w:val="false"/>
          <w:i w:val="false"/>
          <w:caps w:val="false"/>
          <w:smallCaps w:val="false"/>
          <w:sz w:val="20"/>
          <w:u w:val="single"/>
        </w:rPr>
        <w:t>Subordinated Notes</w:t>
      </w:r>
      <w:r>
        <w:rPr>
          <w:rFonts w:ascii="Times New Roman PS Std;serif" w:hAnsi="Times New Roman PS Std;serif"/>
          <w:b w:val="false"/>
          <w:i w:val="false"/>
          <w:caps w:val="false"/>
          <w:smallCaps w:val="false"/>
          <w:sz w:val="20"/>
        </w:rPr>
        <w:t>”), of which $2,519,000 is convertible at the option of the holder into AIR common stock at $15.00 per share and $1,802,000 is convertible at the option of the holder into AIR common stock at $9.30 per share, and $550,000 is non-convertible. The Subordinated Notes mature October 1, 2026. Webster Bank, our principal lender, has required that payment of the amounts due pursuant to the Subordinated Notes be subordinated to payment of amounts owed under AIR’s credit facility. Tenax has agreed in the merger agreement that it or one of its affiliates will pay, or cause to be paid, our outstanding indebtedness, including the amount payable to Webster Bank and the Subordinated Notes in connection with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Treatment of AIR Equity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AIR Equity Awards, including those held by directors and executive officers, that are outstanding as of immediately prior to the effective time will continue on the same terms and conditions as were applicable to such AIR Equity Awards as of immediately prior to the effective time. These terms and conditions generally provide that if an award holder is terminated without “cause” within two years following the effective time, any unvested portion of his or her AIR Equity Awards will become fully vested. In addition, any vested options will generally remain exercisable until the earlier of the expiration date of the option and the date that is three months from such termination (or, in the case of termination due to death or permanent disability, a one- to three-year post-termination exercise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sets forth, by type of AIR Equity Award, for each AIR director, an estimate of the aggregate value of such AIR Equity Awards granted that may be held by such individual at the effective time. The amounts set forth in the table below have been determined based on the number of AIR Equity Awards held by each individual as of July 10, 2026, the latest practicable date to determine such amounts before the filing of this proxy statement/prospectus, assuming that (i) the price per share of AIR common stock is $3.07, which represents the five-day average closing price following the announcement of the merger, (ii) the effective time occurs on September 1, 2026, which is the assumed closing date only for purposes of this compensation-related disclosure and (iii) the individuals included in the tables below do not receive any additional grants of AIR Equity Awards or forfeit any AIR Equity Awards prior to September 1, 2026; however, the values in the table below do reflect the expected vesting of AIR Equity Awards prior to such date.</w:t>
      </w:r>
    </w:p>
    <w:tbl>
      <w:tblPr>
        <w:tblW w:w="6186" w:type="dxa"/>
        <w:jc w:val="left"/>
        <w:tblInd w:w="0" w:type="dxa"/>
        <w:tblLayout w:type="fixed"/>
        <w:tblCellMar>
          <w:top w:w="0" w:type="dxa"/>
          <w:left w:w="0" w:type="dxa"/>
          <w:bottom w:w="0" w:type="dxa"/>
          <w:right w:w="0" w:type="dxa"/>
        </w:tblCellMar>
      </w:tblPr>
      <w:tblGrid>
        <w:gridCol w:w="1921"/>
        <w:gridCol w:w="146"/>
        <w:gridCol w:w="1246"/>
        <w:gridCol w:w="146"/>
        <w:gridCol w:w="332"/>
        <w:gridCol w:w="958"/>
        <w:gridCol w:w="146"/>
        <w:gridCol w:w="1291"/>
      </w:tblGrid>
      <w:tr>
        <w:trPr/>
        <w:tc>
          <w:tcPr>
            <w:tcW w:w="19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RSUs(1) </w:t>
              <w:br/>
              <w:t>($)</w:t>
            </w:r>
          </w:p>
        </w:tc>
        <w:tc>
          <w:tcPr>
            <w:tcW w:w="146"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Stock </w:t>
              <w:br/>
              <w:t>Options(2) </w:t>
              <w:b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Buonanno</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Porcelain</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186,628.37</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187,328.37</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100,039.02</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100,039.02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These amounts do not reflect vested but not yet settled AIR RSUs, which consist of 60,791 vested AIR RSUs held by Mr. Porcelain and 12,159 vested AIR RSUs to each other director, which will be settled on February 12, 2027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Excludes any AIR stock options for which the exercise price is equal to or greater than the assumed stock price of $3.07.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Drisgula does not hold any AIR Equity Awards. For information regarding the AIR RSUs and unvested AIR stock options held by Messrs. Scott Glassman and Luciano Melluzzo, see the section entitled “— Potential Payments to AIR’s Named Executive Officers Upon Completion of the Merger” beginning on page 52 of this proxy statement/prospectus. All vested AIR stock options held by directors and executive officers other than those reflected in the table above have an exercise price in excess of $3.07.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Severance Benefits for Luciano Melluzzo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Mr. Luciano Melluzzo resigned from his positions as President and Chief Executive Officer of AIR and from all other positions he held with AIR and its subsidiaries. In connection with his resignation, Mr. Melluzzo entered into a Separation and Release Agreement, dated March 13, 2026, which provides for (i) cash severance equal to two months’ base salary ($64,310.14) and (ii) the issuance of 12,159 shares of AIR common stock in respect of the accelerated settlement of vested AIR RSUs granted on February 12,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Arrangements with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none of AIR’s directors or executive officers has entered into any agreement, arrangement or understanding with Tenax or any of its affiliates regarding employment, or providing for any compensation or benefits, following the effective time, and the merger is not conditioned upon any such agreement, arrangement or understanding being entered into.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Continuing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for certain customary protections regarding the compensation and benefits of employees of AIR, including AIR’s executive officers, during their employment with AIR and its affiliates following the effective time for a period of up to one year. These provisions are described in more detail in the section entitled “The Merger Agreement — Employee Matters” beginning on page 77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Officers’ 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directors and executive officers of AIR will be entitled to certain ongoing indemnification and coverage under directors’ and officers’ liability insurance policies following the merger. For a more detailed description of the provisions of the merger agreement relating to directors’ and officers’ indemnification, please see the section entitled “The Merger Agreement — Directors’ and Officers’ Indemnification and Insurance” beginning on page 77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28"/>
      <w:bookmarkEnd w:id="28"/>
      <w:r>
        <w:rPr>
          <w:rFonts w:ascii="Times New Roman PS Std;serif" w:hAnsi="Times New Roman PS Std;serif"/>
          <w:b/>
          <w:i w:val="false"/>
          <w:caps w:val="false"/>
          <w:smallCaps w:val="false"/>
          <w:sz w:val="20"/>
        </w:rPr>
        <w:t xml:space="preserve">Potential Payments to AIR’s Named Executive Officers Upon Completion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the information required by Item 402(t) of SEC Regulation S-K regarding the compensation of each of AIR’s Named Executive Officers that is based on or otherwise relates to the merger and that will or may become payable to the Named Executive Officers at either the consummation of the merger or upon a qualifying termination of employment upon or following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sets forth, for the purposes of this merger-related compensation disclosure, the amount of payments and benefits that each Named Executive Officer would receive at the effective time based on the following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 time occurs on September 1, 2026, which is the assumed closing date only for purposes of this compensation-related disclosure;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unvested AIR Equity Awards held by each Named Executive Officer is determined as of July 10, 2026, the latest practicable date to determine such amounts before the filing of this proxy statement/prospectus, less any awards expected to vest in the ordinary course prior to September 1, 2026, and assuming no additional grants or forfeitures of AIR Equity Awards prior to September 1, 2026;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per share of AIR common stock is $3.07, which represents the five-day average closing price following the announcement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do not include amounts that AIR’s Named Executive Officers were already entitled to receive or were vested in as of the date of this proxy statement/prospectus. Moreover, as a result of the foregoing assumptions which may or may not actually occur or be accurate on the relevant date, the actual amounts, if any, to be received by a Named Executive Officer may materially differ from the amounts set forth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disclosure, “double-trigger” refers to payments that require two conditions, which are the consummation of the merger and a qualifying termination of employment, and “single-trigger” refers to payments or benefits that solely arise as a result of the consummation of the merger.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6465" w:type="dxa"/>
        <w:jc w:val="left"/>
        <w:tblInd w:w="0" w:type="dxa"/>
        <w:tblLayout w:type="fixed"/>
        <w:tblCellMar>
          <w:top w:w="0" w:type="dxa"/>
          <w:left w:w="0" w:type="dxa"/>
          <w:bottom w:w="0" w:type="dxa"/>
          <w:right w:w="0" w:type="dxa"/>
        </w:tblCellMar>
      </w:tblPr>
      <w:tblGrid>
        <w:gridCol w:w="2056"/>
        <w:gridCol w:w="146"/>
        <w:gridCol w:w="359"/>
        <w:gridCol w:w="361"/>
        <w:gridCol w:w="146"/>
        <w:gridCol w:w="585"/>
        <w:gridCol w:w="300"/>
        <w:gridCol w:w="146"/>
        <w:gridCol w:w="836"/>
        <w:gridCol w:w="604"/>
        <w:gridCol w:w="146"/>
        <w:gridCol w:w="467"/>
        <w:gridCol w:w="313"/>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($)(1)</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Perquisites/ </w:t>
              <w:br/>
              <w:t xml:space="preserve">benefits </w:t>
              <w:br/>
              <w:t>($)</w:t>
            </w:r>
          </w:p>
        </w:tc>
        <w:tc>
          <w:tcPr>
            <w:tcW w:w="146" w:type="dxa"/>
            <w:tcBorders/>
            <w:vAlign w:val="bottom"/>
          </w:tcPr>
          <w:p>
            <w:pPr>
              <w:pStyle w:val="TableContents"/>
              <w:bidi w:val="0"/>
              <w:spacing w:before="0" w:after="283"/>
              <w:jc w:val="left"/>
              <w:rPr/>
            </w:pPr>
            <w:r>
              <w:rPr/>
              <w:t> </w:t>
            </w:r>
          </w:p>
        </w:tc>
        <w:tc>
          <w:tcPr>
            <w:tcW w:w="7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Glassman(1)</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13" w:type="dxa"/>
            <w:tcBorders/>
            <w:shd w:fill="CCEEFF" w:val="clear"/>
            <w:vAlign w:val="bottom"/>
          </w:tcPr>
          <w:p>
            <w:pPr>
              <w:pStyle w:val="TableContents"/>
              <w:bidi w:val="0"/>
              <w:spacing w:before="0" w:after="283"/>
              <w:jc w:val="left"/>
              <w:rPr/>
            </w:pPr>
            <w:r>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Luciano Melluzzo(2)</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13"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Mr. Glassman, the amounts set forth in the table reflect the aggregate dollar value of AIR common stock in respect of his unvested AIR Equity Awards, which will vest upon a termination without cause within two years following the effective time. These are therefore “double-trigger” payments. This amount excludes a grant of 12,159 vested RSUs to Mr. Glassman on February 12, 2026, which will be settled on February 12, 2027, because this grant was not made in connection with the merger.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Melluzzo resigned from his position as the President and Chief Executive Officer of the Company, effective March 11, 2026, and is no longer entitled to any payments or benefits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29"/>
      <w:bookmarkEnd w:id="29"/>
      <w:r>
        <w:rPr>
          <w:rFonts w:ascii="Times New Roman PS Std;serif" w:hAnsi="Times New Roman PS Std;serif"/>
          <w:b/>
          <w:i w:val="false"/>
          <w:caps w:val="false"/>
          <w:smallCaps w:val="false"/>
          <w:sz w:val="20"/>
        </w:rPr>
        <w:t xml:space="preserve">Interests of Certain Participants in the Solicitation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may solicit proxies by telephone or otherwise in respect of the proposals to be considered at the special meeting and may be deemed to have been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as more fully described under “The Merger — Interests of AIR’s Directors and Executive Officers in the Merger — Subordinated Notes” beginning on page 51 of this proxy statement/prospectus. In addition, AIR’s directors and executive officers will benefit from the indemnification and insurance arrangements described under “The Merger Agreement — Directors’ and Officers’ Indemnification and Insurance” beginning on page 77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0" w:name="T9930"/>
      <w:bookmarkEnd w:id="30"/>
      <w:r>
        <w:rPr>
          <w:rFonts w:ascii="Times New Roman PS Std;serif" w:hAnsi="Times New Roman PS Std;serif"/>
          <w:b/>
          <w:i w:val="false"/>
          <w:caps w:val="false"/>
          <w:smallCaps w:val="false"/>
          <w:sz w:val="20"/>
        </w:rPr>
        <w:t xml:space="preserve">Opinion of AIR’s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retained Kipps to act as its financial advisor in connection with the Transactions. As part of this engagement, the AIR Board requested that Kipps evaluate the fairness to the holders of the AIR common stock, from a financial point of view, of the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statement/prospectus in its entirety. The summary of the opinion of Kipps in this proxy statement/prospectus is qualified in its entirety by reference to the full text of the written opinion. You are urged to read Kipps’s opinion carefully and in its entirety. Kipps’s opinion was addressed to, and provided for the information and benefit of, the AIR Board (in its capacity as such) in connection with its evaluation of the Original Transactions. The opinion does not constitute a recommendation to the AIR Board or to any other persons in respect of the Original Transactions or the Transactions, including as to how any holder of shares of AIR common stock should vote or act in respect of the Original Transactions or the Transactions. Kipps’s opinion does not address the relative merits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Original Transactions or the Transactions as compared to other business or financial strategies that might be available to AIR, nor does it address the underlying business decision of AIR to engage in the Original Transactions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should be aware that with the consent of the AIR Board, Kipps’s opinion was based on an assumed unadjusted redemption price of $4.18 per share, which was calculated based on a formula set forth in the original merger agreement prior to its amendment and restatement and assuming, at the direction of AIR’s management, that AIR’s net indebtedness at closing equals $24,600,000. The actual redemption price will be $3.27, which is materially lower than the $4.18 per share on which Kipps rendered its fairness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its written opinion, Kipps,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AIR that Kipps deemed to be relevant, including publicly available research analysts’ estimates;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projected financial data relating to AIR prepared and furnished to Kipps by management of AIR, each as approved for Kipps’s use by AIR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management of AIR their assessment of the past and current operations of AIR, the current financial condition and prospects of AIR, and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the historical trading activity of the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AIR and its stock market trading multiples with those of certain other publicly traded companies that Kipps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AIR and the valuation multiples relating to the unadjusted redemption price with the financial terms, to the extent publicly available, of certain other transactions that Kipps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and conditions of a draft, dated as of February 16, 2026, of the original merger agreement, including Exhibit H thereto;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analyses and examinations and considered such other factors that Kipps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Kipps’s analysis and opinion, Kipps assumed and relied upon the accuracy and completeness of the financial and other information publicly available, and all of the information supplied or otherwise made available to, discussed with or reviewed by Kipps, without any independent verification of such information (and Kipps did not assume responsibility or liability for any independent verification of such information), and further relied upon the assurances of the management of AIR that they were not aware of any facts or circumstances that would make such information inaccurate or misleading. With respect to the Forecasts, Kipps assumed with the consent of the AIR Board that the Forecasts were reasonably prepared on bases reflecting the best currently available estimates and good faith judgments of the management of AIR as to the future financial performance of AIR and the other matters covered thereby. Kipps expressed no view as to the Forecasts or the assumptions on which they were based.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Kipps’s analysis and opinion, Kipps assumed, in all respects material to its analysis, that the final executed original merger agreement would not differ from the draft original merger agreement reviewed by Kipps, that the final executed redemption rights agreement would not differ from the draft terms and conditions set forth on Exhibit H of the original merger agreement reviewed by Kipps, that the representations and warranties of each party contained in the original merger agreement were true and correct, that each party would perform all of the covenants and agreements required to be performed by it under the original merger agreement and redemption rights agreement and that all conditions to the consummation of the Original Transactions, including the redemption, would be satisfied without waiver or modification thereof. Kipps further assumed, in all respects material to its analysis, that all governmental, regulatory or other consents, approvals or releases necessary for the consummation of the Original Transactions, including the redemption, would be obtained without any delay, limitation, restriction or condition that would have an adverse effect on AIR or the consummation of the Original Transactions, including the redemption, or reduce the contemplated benefits of the Original Transactions, including the Redemption Rights, to holders of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did not conduct a physical inspection of the properties or facilities of AIR and did not make or assume any responsibility for making any independent valuation or appraisal of the assets or liabilities (including any contingent, derivative or other off-balance sheet assets and liabilities) of AIR, nor was Kipps furnished with any such valuations or appraisals, nor did Kipps evaluate the solvency or fair value of AIR under any state or federal laws relating to bankruptcy, insolvency or similar matters. Kipps’s opinion was necessarily based upon information made available to Kipps as of the date of its opinion and financial, economic, market and other conditions as they existed and could be evaluated on the date of its opinion. Developments subsequent to Kipps’s opinion could affect its opinion and Kipps did not and does not have any obligation to update, revise or reaffirm its opinion.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was not asked to pass upon, and expressed no opinion with respect to, any matter other than the fairness to the holders of the AIR common stock, from a financial point of view, of the unadjusted redemption price. Kipps did not express any view on, and Kipps’s opinion does not address, the fairness of the proposed transaction to, or any consideration received in connection therewith by, the holders of any other class of securities, creditors or other constituencies of AIR, the fairness of the consideration to be paid or payable by AIR to the holders of membership units of Tenax or to be paid or payable by AIR in the tender offer contemplated in the original merger agreement, nor the fairness of the amount or nature of any compensation to be paid or payable to any of the officers, directors or employees of AIR, or any class of such persons, whether relative to the unadjusted redemption price or otherwise. Kipps was not asked to, nor did Kipps express any view on, and Kipps’s opinion does not address, any other term or aspect of the original merger agreement or the redemption rights agreement or the Original Transactions or the Transactions, including, without limitation, the structure or form of the Original Transactions or the Transactions, or any term or aspect of any other agreement or instrument contemplated by the original merger agreement or the redemption rights agreement or entered into or amended in connection with the original merger agreement or the redemption rights agreement. Kipps’s opinion does not address the relative merits of the Original Transactions or the Transactions, including the redemption, as compared to other business or financial strategies that might be available to AIR, nor does it address the underlying business decision of AIR to engage in the Original Transactions or the Transactions, including the redemption. Kipps’s opinion did not constitute a recommendation to the AIR Board or to any other persons in respect of the Original Transactions or the Transactions, including the redemption, including as to how any holder of shares of the AIR common stock should vote or act in respect of the Original Transactions or the Transactions, including the redemption. Kipps did not express any opinion as to the prices at which shares of AIR common stock will trade at any time, as to the potential effects of volatility in the credit, financial and stock markets on AIR or the Original Transactions or the Transactions, including the redemption, or as to the impact of the Original Transactions or the Transactions, including the redemption, on the solvency or viability of AIR or the ability of AIR to pay its obligations when they come due. Kipps is not a legal, regulatory, accounting or tax expert and assumed the accuracy and completeness of assessments by AIR and its advisors with respect to legal, regulatory, accounting and tax matters.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financial analyses reviewed by Kipps with the AIR Board on February 13, 2026, as updated by delivery of the updated presentation to the AIR Board on February 17, 2026. The presentation delivered to the AIR Board on February 13, 2026 in connection with rendering the oral opinion was identical to the February 17, 2026 presentation delivered to the Board on such date, other than the modified redemption price. The following summary, however, does not purport to be a complete description of the analyses performed by Kipps. The order of the analyses described and the results of these analyses do not represent relative importance or weight given to these analyses by Kipps. Except as otherwise noted, the following quantitative information, to the extent that it is based on market data, is based on market data that existed on or before February 12, 2026 (the last trading date prior to the rendering of Kipps’s oral opinion), and is not necessarily indicative of current market conditions.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and reviews, Kipps considered general business, economic, market and financial conditions, industry sector performance and other matters, as they existed and could be evaluated as of the date of its opinion, many of which are beyond the control of AIR. The estimates contained in Kipps’s analyses and reviews, and the ranges of valuations resulting from any particular analysis or review, are not necessarily indicative of actual values or predictive of future results or values, which may be significantly more or less favorable than those suggested by Kipps’s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Kipps’s analyses and reviews are inherently subject to substantial uncertainty.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following summary of Kipps’s financial analyses includes information presented in tabular format. In order to fully understand the analyses, the tables should be read together with the full text of each summary. The tables are not intended to stand alone and alone do not constitute a complete description of Kipps’s financial analyses. Considering the tables below without considering the full narrative description of Kipps’s financial analyses, including the methodologies and assumptions underlying such analyses, could create a misleading or incomplete view of such analyses.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opinion and the financial analyses described below, Kipps calculated the unadjusted redemption price pursuant to and in accordance with a formula set forth in the original merger agreement prior to its amendment and restatement, which defined the redemption price as 107.3% of the “Debt Adjusted AIR Share Price”, where for purposes of such formula:</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Share Price” meant the “Debt Adjusted AIR Equity Value” divided by the “AIR Share Target Amount”, subject to certain adjustments thereto;</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Equity Value” meant $20,500,000 minus the “AIR Excess Debt”;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Excess Debt” meant the amount by which the “AIR Net Indebtedness” set forth in AIR’s closing capitalization schedule exceeded the “AIR Debt Target Amount”;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Debt Target Amount” meant $24,600,000;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Share Target Amount” meant 5,256,325.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Applying the foregoing, the Debt Adjusted AIR Share Price was equal to the quotient of (A) an amount equal to (i) $20,500,000 minus (ii) the amount by which the AIR Net Indebtedness exceeded $24,600,000, </w:t>
      </w:r>
      <w:r>
        <w:rPr>
          <w:rFonts w:ascii="Times New Roman PS Std;serif" w:hAnsi="Times New Roman PS Std;serif"/>
          <w:b w:val="false"/>
          <w:i/>
          <w:caps w:val="false"/>
          <w:smallCaps w:val="false"/>
          <w:sz w:val="20"/>
        </w:rPr>
        <w:t>divided</w:t>
      </w:r>
      <w:r>
        <w:rPr>
          <w:rFonts w:ascii="Times New Roman PS Std;serif" w:hAnsi="Times New Roman PS Std;serif"/>
          <w:b w:val="false"/>
          <w:i w:val="false"/>
          <w:caps w:val="false"/>
          <w:smallCaps w:val="false"/>
          <w:sz w:val="20"/>
        </w:rPr>
        <w:t xml:space="preserve"> by (B) 5,256,325.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Kipps’s opinion and the financial analyses described below, AIR management instructed Kipps to assume that the AIR Net Indebtedness, as of December 31, 2025, was equal to the AIR Debt Target Amount of $24,600,000. Accordingly, Kipps calculated the unadjusted redemption price of $4.18 as 107.3% of the quotient of $20,500,000 divided by 5,256,325.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Kipps’s Financial Analyses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 Analysis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reviewed and compared certain financial information of AIR to corresponding financial multiples and ratios for the following selected publicly traded companies in the aerospace/defense industry (referred to in this section as the “selected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Jabil Inc.</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Plexus Corp.</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Albany International Corp.</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Ducommun Incorporated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Magellan Aerospace Corporation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the selected companies, Kipps calculated enterprise value (defined as equity market capitalization plus total debt, plus preferred equity and minority interest, less cash and cash equivalents) as a multiple of (i) estimated 2026 EBITDA (such estimated 2026 earnings referred to as “</w:t>
      </w:r>
      <w:r>
        <w:rPr>
          <w:rFonts w:ascii="Times New Roman PS Std;serif" w:hAnsi="Times New Roman PS Std;serif"/>
          <w:b w:val="false"/>
          <w:i w:val="false"/>
          <w:caps w:val="false"/>
          <w:smallCaps w:val="false"/>
          <w:sz w:val="20"/>
          <w:u w:val="single"/>
        </w:rPr>
        <w:t>2026E EBITDA</w:t>
      </w:r>
      <w:r>
        <w:rPr>
          <w:rFonts w:ascii="Times New Roman PS Std;serif" w:hAnsi="Times New Roman PS Std;serif"/>
          <w:b w:val="false"/>
          <w:i w:val="false"/>
          <w:caps w:val="false"/>
          <w:smallCaps w:val="false"/>
          <w:sz w:val="20"/>
        </w:rPr>
        <w:t>” and such multiples referred to as “</w:t>
      </w:r>
      <w:r>
        <w:rPr>
          <w:rFonts w:ascii="Times New Roman PS Std;serif" w:hAnsi="Times New Roman PS Std;serif"/>
          <w:b w:val="false"/>
          <w:i w:val="false"/>
          <w:caps w:val="false"/>
          <w:smallCaps w:val="false"/>
          <w:sz w:val="20"/>
          <w:u w:val="single"/>
        </w:rPr>
        <w:t>EV/2026E EBITDA</w:t>
      </w:r>
      <w:r>
        <w:rPr>
          <w:rFonts w:ascii="Times New Roman PS Std;serif" w:hAnsi="Times New Roman PS Std;serif"/>
          <w:b w:val="false"/>
          <w:i w:val="false"/>
          <w:caps w:val="false"/>
          <w:smallCaps w:val="false"/>
          <w:sz w:val="20"/>
        </w:rPr>
        <w:t>”), and (ii) projected 2027 EBITDA (such estimated 2027 earnings referred to as “</w:t>
      </w:r>
      <w:r>
        <w:rPr>
          <w:rFonts w:ascii="Times New Roman PS Std;serif" w:hAnsi="Times New Roman PS Std;serif"/>
          <w:b w:val="false"/>
          <w:i w:val="false"/>
          <w:caps w:val="false"/>
          <w:smallCaps w:val="false"/>
          <w:sz w:val="20"/>
          <w:u w:val="single"/>
        </w:rPr>
        <w:t>2027P EBITDA</w:t>
      </w:r>
      <w:r>
        <w:rPr>
          <w:rFonts w:ascii="Times New Roman PS Std;serif" w:hAnsi="Times New Roman PS Std;serif"/>
          <w:b w:val="false"/>
          <w:i w:val="false"/>
          <w:caps w:val="false"/>
          <w:smallCaps w:val="false"/>
          <w:sz w:val="20"/>
        </w:rPr>
        <w:t>” and such multiples referred to as “</w:t>
      </w:r>
      <w:r>
        <w:rPr>
          <w:rFonts w:ascii="Times New Roman PS Std;serif" w:hAnsi="Times New Roman PS Std;serif"/>
          <w:b w:val="false"/>
          <w:i w:val="false"/>
          <w:caps w:val="false"/>
          <w:smallCaps w:val="false"/>
          <w:sz w:val="20"/>
          <w:u w:val="single"/>
        </w:rPr>
        <w:t>EV/2027P EBITDA</w:t>
      </w:r>
      <w:r>
        <w:rPr>
          <w:rFonts w:ascii="Times New Roman PS Std;serif" w:hAnsi="Times New Roman PS Std;serif"/>
          <w:b w:val="false"/>
          <w:i w:val="false"/>
          <w:caps w:val="false"/>
          <w:smallCaps w:val="false"/>
          <w:sz w:val="20"/>
        </w:rPr>
        <w:t>”), based on closing share prices as of February 6, 2026. Estimated and projected financial data of the selected companies were based on publicly available research analysts’ estimates obtained from Capital IQ, company filings and press releases as of February 6,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multiples it derived for the selected companies and based on its professional judgment and experience, Kipps applied a (i) EV/2026E EBITDA multiple reference range of 8.5x to 10.5x to AIR’s estimated EBITDA in calendar year 2026 as reflected in the Forecasts, and (ii) EV/2027P EBITDA multiple reference range of 7.5x to 9.5x to AIR’s projected EBITDA in calendar year 2027 as reflected in the Forecasts.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ranges of implied total enterprise values, AIR’s estimated net debt as of December 31, 2025, and the number of fully diluted shares of AIR, each as provided by AIR’s management, this analysis indicated the following ranges of implied equity values per share of AIR common stock, each as compared to the unadjusted redemption price:</w:t>
      </w:r>
    </w:p>
    <w:tbl>
      <w:tblPr>
        <w:tblW w:w="3718" w:type="dxa"/>
        <w:jc w:val="left"/>
        <w:tblInd w:w="0" w:type="dxa"/>
        <w:tblLayout w:type="fixed"/>
        <w:tblCellMar>
          <w:top w:w="0" w:type="dxa"/>
          <w:left w:w="0" w:type="dxa"/>
          <w:bottom w:w="0" w:type="dxa"/>
          <w:right w:w="0" w:type="dxa"/>
        </w:tblCellMar>
      </w:tblPr>
      <w:tblGrid>
        <w:gridCol w:w="1816"/>
        <w:gridCol w:w="146"/>
        <w:gridCol w:w="175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Values </w:t>
              <w:br/>
              <w:t>Per Share</w:t>
            </w:r>
          </w:p>
        </w:tc>
      </w:tr>
      <w:tr>
        <w:trPr/>
        <w:tc>
          <w:tcPr>
            <w:tcW w:w="18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EV/2026E EBITDA</w:t>
            </w:r>
          </w:p>
        </w:tc>
        <w:tc>
          <w:tcPr>
            <w:tcW w:w="146" w:type="dxa"/>
            <w:tcBorders/>
            <w:shd w:fill="CCEEFF" w:val="clear"/>
          </w:tcPr>
          <w:p>
            <w:pPr>
              <w:pStyle w:val="TableContents"/>
              <w:bidi w:val="0"/>
              <w:spacing w:before="0" w:after="283"/>
              <w:jc w:val="left"/>
              <w:rPr/>
            </w:pPr>
            <w:r>
              <w:rPr/>
              <w:t> </w:t>
            </w:r>
          </w:p>
        </w:tc>
        <w:tc>
          <w:tcPr>
            <w:tcW w:w="17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 – $5.74</w:t>
            </w:r>
          </w:p>
        </w:tc>
      </w:tr>
      <w:tr>
        <w:trPr/>
        <w:tc>
          <w:tcPr>
            <w:tcW w:w="18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EV/2027P EBITDA</w:t>
            </w:r>
          </w:p>
        </w:tc>
        <w:tc>
          <w:tcPr>
            <w:tcW w:w="146" w:type="dxa"/>
            <w:tcBorders/>
          </w:tcPr>
          <w:p>
            <w:pPr>
              <w:pStyle w:val="TableContents"/>
              <w:bidi w:val="0"/>
              <w:spacing w:before="0" w:after="283"/>
              <w:jc w:val="left"/>
              <w:rPr/>
            </w:pPr>
            <w:r>
              <w:rPr/>
              <w:t> </w:t>
            </w:r>
          </w:p>
        </w:tc>
        <w:tc>
          <w:tcPr>
            <w:tcW w:w="17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 – $4.70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selected companies is directly comparable to AIR, Kipps selected these companies because they are publicly traded aerospace and defense firms, many of which possess specialized build-to-print/build-to-spec manufacturing expertise, that Kipps, in its professional judgment and experience, considered generally relevant to AIR for purposes of its financial analyses. In evaluating the selected companies, Kipps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Transactions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reviewed financial information related to the following selected transactions involving target companies in the aerospace/defense industry, specifically aerospace assembly and component manufacturing, announced between 2018 and 2025 (referred to in this section as the “selected transactions”). The selected transactions reviewed by Kipps, and the month and year each was announced, were as follows:</w:t>
      </w:r>
    </w:p>
    <w:tbl>
      <w:tblPr>
        <w:tblW w:w="10205" w:type="dxa"/>
        <w:jc w:val="left"/>
        <w:tblInd w:w="0" w:type="dxa"/>
        <w:tblLayout w:type="fixed"/>
        <w:tblCellMar>
          <w:top w:w="0" w:type="dxa"/>
          <w:left w:w="0" w:type="dxa"/>
          <w:bottom w:w="0" w:type="dxa"/>
          <w:right w:w="0" w:type="dxa"/>
        </w:tblCellMar>
      </w:tblPr>
      <w:tblGrid>
        <w:gridCol w:w="1806"/>
        <w:gridCol w:w="146"/>
        <w:gridCol w:w="3133"/>
        <w:gridCol w:w="146"/>
        <w:gridCol w:w="4974"/>
      </w:tblGrid>
      <w:tr>
        <w:trPr/>
        <w:tc>
          <w:tcPr>
            <w:tcW w:w="18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Month and </w:t>
              <w:br/>
              <w:t>Year Announced</w:t>
            </w:r>
          </w:p>
        </w:tc>
        <w:tc>
          <w:tcPr>
            <w:tcW w:w="146" w:type="dxa"/>
            <w:tcBorders/>
            <w:vAlign w:val="bottom"/>
          </w:tcPr>
          <w:p>
            <w:pPr>
              <w:pStyle w:val="TableContents"/>
              <w:bidi w:val="0"/>
              <w:spacing w:before="0" w:after="283"/>
              <w:jc w:val="left"/>
              <w:rPr/>
            </w:pPr>
            <w:r>
              <w:rPr/>
              <w:t> </w:t>
            </w:r>
          </w:p>
        </w:tc>
        <w:tc>
          <w:tcPr>
            <w:tcW w:w="31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Acquirer</w:t>
            </w:r>
          </w:p>
        </w:tc>
        <w:tc>
          <w:tcPr>
            <w:tcW w:w="146" w:type="dxa"/>
            <w:tcBorders/>
            <w:vAlign w:val="bottom"/>
          </w:tcPr>
          <w:p>
            <w:pPr>
              <w:pStyle w:val="TableContents"/>
              <w:bidi w:val="0"/>
              <w:spacing w:before="0" w:after="283"/>
              <w:jc w:val="left"/>
              <w:rPr/>
            </w:pPr>
            <w:r>
              <w:rPr/>
              <w:t> </w:t>
            </w:r>
          </w:p>
        </w:tc>
        <w:tc>
          <w:tcPr>
            <w:tcW w:w="49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2025</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Sullivan Street Partners</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Aerostructures Business of Senior plc</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Apex Space and Defense Systems</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Unitech Composites, Inc.</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2023</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Arlington Capital Partners</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Pegasus Steel LLC</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2022</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National Presto Industries, Inc.</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Woodlawn Manufacturing Ltd.</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2021</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PCX Aerostructures, LLC</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Aerospace Connecticut</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2020</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Sabena Aerospace SA</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Societe Anonyme Belge de Constructions Aeronautiques</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2019</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Susquehanna Private Capital, LLC</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McNally Industries, LLC</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BBA Aviation plc/Ontic</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Firstmark Corp.</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Argosy Private Equity</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Capewell Aerial Systems</w:t>
            </w:r>
          </w:p>
        </w:tc>
      </w:tr>
      <w:tr>
        <w:trPr/>
        <w:tc>
          <w:tcPr>
            <w:tcW w:w="18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tcPr>
          <w:p>
            <w:pPr>
              <w:pStyle w:val="TableContents"/>
              <w:bidi w:val="0"/>
              <w:spacing w:before="0" w:after="283"/>
              <w:jc w:val="left"/>
              <w:rPr/>
            </w:pPr>
            <w:r>
              <w:rPr/>
              <w:t> </w:t>
            </w:r>
          </w:p>
        </w:tc>
        <w:tc>
          <w:tcPr>
            <w:tcW w:w="31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Polaris Industries, Inc.</w:t>
            </w:r>
          </w:p>
        </w:tc>
        <w:tc>
          <w:tcPr>
            <w:tcW w:w="146" w:type="dxa"/>
            <w:tcBorders/>
          </w:tcPr>
          <w:p>
            <w:pPr>
              <w:pStyle w:val="TableContents"/>
              <w:bidi w:val="0"/>
              <w:spacing w:before="0" w:after="283"/>
              <w:jc w:val="left"/>
              <w:rPr/>
            </w:pPr>
            <w:r>
              <w:rPr/>
              <w:t> </w:t>
            </w:r>
          </w:p>
        </w:tc>
        <w:tc>
          <w:tcPr>
            <w:tcW w:w="49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WSI Industries,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selected transaction, Kipps calculated the implied enterprise value (defined as the target company’s implied equity value based on the consideration paid in the applicable transaction plus total debt plus debt-like liabilities plus minority interest less cash and cash equivalents) as a multiple of last twelve-month EBITDA for the target company at the time of the announcement of the applicable transaction (referred to in this section as “</w:t>
      </w:r>
      <w:r>
        <w:rPr>
          <w:rFonts w:ascii="Times New Roman PS Std;serif" w:hAnsi="Times New Roman PS Std;serif"/>
          <w:b w:val="false"/>
          <w:i w:val="false"/>
          <w:caps w:val="false"/>
          <w:smallCaps w:val="false"/>
          <w:sz w:val="20"/>
          <w:u w:val="single"/>
        </w:rPr>
        <w:t>LTM EBITDA</w:t>
      </w:r>
      <w:r>
        <w:rPr>
          <w:rFonts w:ascii="Times New Roman PS Std;serif" w:hAnsi="Times New Roman PS Std;serif"/>
          <w:b w:val="false"/>
          <w:i w:val="false"/>
          <w:caps w:val="false"/>
          <w:smallCaps w:val="false"/>
          <w:sz w:val="20"/>
        </w:rPr>
        <w:t>” and such multiple, “</w:t>
      </w:r>
      <w:r>
        <w:rPr>
          <w:rFonts w:ascii="Times New Roman PS Std;serif" w:hAnsi="Times New Roman PS Std;serif"/>
          <w:b w:val="false"/>
          <w:i w:val="false"/>
          <w:caps w:val="false"/>
          <w:smallCaps w:val="false"/>
          <w:sz w:val="20"/>
          <w:u w:val="single"/>
        </w:rPr>
        <w:t>EV/LTM EBITDA</w:t>
      </w:r>
      <w:r>
        <w:rPr>
          <w:rFonts w:ascii="Times New Roman PS Std;serif" w:hAnsi="Times New Roman PS Std;serif"/>
          <w:b w:val="false"/>
          <w:i w:val="false"/>
          <w:caps w:val="false"/>
          <w:smallCaps w:val="false"/>
          <w:sz w:val="20"/>
        </w:rPr>
        <w:t>”). Estimated financial data of the selected transactions were based on information dated as of the time of announcement of the relevant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multiples it derived from the selected transactions and based on its professional judgment and experience, Kipps selected a reference range of EV/LTM EBITDA multiples of 7.0x to 9.0x and applied this range of multiples to AIR’s estimated LTM EBITDA as of December 2025, based on publicly available business and financial information for AIR. Based on this range of implied total enterprise values, AIR’s estimated net debt and option exercise amount as of December 31, 2025 of $25.4 million and the number of fully diluted shares of AIR, each as provided by AIR’s management, this analysis indicated a range of implied equity values per share of AIR common stock of $0.82 to $2.54, as compared to the unadjusted redemption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target companies or businesses reviewed in the selected transactions analysis is directly comparable to AIR and none of the selected transactions is directly comparable to the transaction, Kipps selected these transactions because they involve companies or businesses that Kipps, in its professional judgment and experience, considered generally relevant to AIR for purposes of its financial analyses. In evaluating the selected transactions, Kipps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Discounted Cash Flow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performed a discounted cash flow analysis of AIR to calculate ranges of implied present values of the per share equity value of AIR utilizing estimates of the standalone unlevered, after-tax free cash flows that AIR was forecasted to generate over the period from January 1, 2026, through December 31, 2030, based on the Forecasts. Kipps calculated terminal values for AIR using two methods: (i) a perpetuity growth method — under which Kipps calculated terminal values for AIR by applying a range of perpetuity growth rates of 2.5% to 3.5%, which range was selected based on Kipps’s professional judgment and experience, to an estimate of the unlevered, after-tax free cash flows that AIR was forecasted to generate in the terminal year based on the Forecasts, and (ii) a terminal multiple method — under which Kipps calculated terminal values for AIR by applying a range of enterprise values to LTM EBITDA multiples of 7.0x to 9.0x, which range was selected based on Kipps’s professional judgment and experience, to an estimate of AIR’s terminal year EBITDA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December 31, 2025, using discount rates ranging from 13.0% to 15.0%, representing an estimate of AIR’s weighted average cost of capital, as estimated by Kipps based on its professional judgment and experience, to derive implied enterprise value reference ranges for AIR. Based on these ranges of implied enterprise values, AIR’s estimated net debt as of December 31, 2025, and the number of fully diluted shares of AIR, each as provided by AIR’s management, this analysis indicated ranges of implied equity values per share of AIR common stock as set forth in the table below, as compared to the unadjusted redemption price:</w:t>
      </w:r>
    </w:p>
    <w:tbl>
      <w:tblPr>
        <w:tblW w:w="5083" w:type="dxa"/>
        <w:jc w:val="left"/>
        <w:tblInd w:w="0" w:type="dxa"/>
        <w:tblLayout w:type="fixed"/>
        <w:tblCellMar>
          <w:top w:w="0" w:type="dxa"/>
          <w:left w:w="0" w:type="dxa"/>
          <w:bottom w:w="0" w:type="dxa"/>
          <w:right w:w="0" w:type="dxa"/>
        </w:tblCellMar>
      </w:tblPr>
      <w:tblGrid>
        <w:gridCol w:w="3181"/>
        <w:gridCol w:w="146"/>
        <w:gridCol w:w="1756"/>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Values </w:t>
              <w:br/>
              <w:t>Per Share</w:t>
            </w:r>
          </w:p>
        </w:tc>
      </w:tr>
      <w:tr>
        <w:trPr/>
        <w:tc>
          <w:tcPr>
            <w:tcW w:w="31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shd w:fill="CCEEFF" w:val="clear"/>
          </w:tcPr>
          <w:p>
            <w:pPr>
              <w:pStyle w:val="TableContents"/>
              <w:bidi w:val="0"/>
              <w:spacing w:before="0" w:after="283"/>
              <w:jc w:val="left"/>
              <w:rPr/>
            </w:pPr>
            <w:r>
              <w:rPr/>
              <w:t> </w:t>
            </w:r>
          </w:p>
        </w:tc>
        <w:tc>
          <w:tcPr>
            <w:tcW w:w="17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 – $2.85</w:t>
            </w:r>
          </w:p>
        </w:tc>
      </w:tr>
      <w:tr>
        <w:trPr/>
        <w:tc>
          <w:tcPr>
            <w:tcW w:w="31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Terminal Multiple Method</w:t>
            </w:r>
          </w:p>
        </w:tc>
        <w:tc>
          <w:tcPr>
            <w:tcW w:w="146" w:type="dxa"/>
            <w:tcBorders/>
          </w:tcPr>
          <w:p>
            <w:pPr>
              <w:pStyle w:val="TableContents"/>
              <w:bidi w:val="0"/>
              <w:spacing w:before="0" w:after="283"/>
              <w:jc w:val="left"/>
              <w:rPr/>
            </w:pPr>
            <w:r>
              <w:rPr/>
              <w:t> </w:t>
            </w:r>
          </w:p>
        </w:tc>
        <w:tc>
          <w:tcPr>
            <w:tcW w:w="17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 – $1.51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Premiums Paid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publicly available information, Kipps reviewed identified transactions involving acquisitions where a control premium was paid for a publicly traded target with a market capitalization less than or equal to $250 million between January 1, 2020 and December 31, 2025. Using publicly available information, Kipps calculated the premiums paid as the percentage by which the per share consideration paid or proposed to be paid in each such transaction exceeded the closing market price per the target companies one day, one week and one month prior to the announcement of each such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the following:</w:t>
      </w:r>
    </w:p>
    <w:tbl>
      <w:tblPr>
        <w:tblW w:w="5680" w:type="dxa"/>
        <w:jc w:val="left"/>
        <w:tblInd w:w="0" w:type="dxa"/>
        <w:tblLayout w:type="fixed"/>
        <w:tblCellMar>
          <w:top w:w="0" w:type="dxa"/>
          <w:left w:w="0" w:type="dxa"/>
          <w:bottom w:w="0" w:type="dxa"/>
          <w:right w:w="0" w:type="dxa"/>
        </w:tblCellMar>
      </w:tblPr>
      <w:tblGrid>
        <w:gridCol w:w="1591"/>
        <w:gridCol w:w="146"/>
        <w:gridCol w:w="781"/>
        <w:gridCol w:w="421"/>
        <w:gridCol w:w="146"/>
        <w:gridCol w:w="781"/>
        <w:gridCol w:w="421"/>
        <w:gridCol w:w="146"/>
        <w:gridCol w:w="781"/>
        <w:gridCol w:w="466"/>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Day </w:t>
              <w:br/>
              <w:t>Prior</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Week </w:t>
              <w:br/>
              <w:t>Prior</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Month </w:t>
              <w:br/>
              <w:t>Prior</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Median</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39.11</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40.56</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45.42</w:t>
            </w:r>
          </w:p>
        </w:tc>
        <w:tc>
          <w:tcPr>
            <w:tcW w:w="4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Mean</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43.67</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45.65</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w:t>
            </w:r>
          </w:p>
        </w:tc>
        <w:tc>
          <w:tcPr>
            <w:tcW w:w="4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75th percentile</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64.21</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69.20</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71.39</w:t>
            </w:r>
          </w:p>
        </w:tc>
        <w:tc>
          <w:tcPr>
            <w:tcW w:w="4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25th percentile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15.90</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w:t>
            </w:r>
          </w:p>
        </w:tc>
        <w:tc>
          <w:tcPr>
            <w:tcW w:w="4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141.35</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206.12</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191.54</w:t>
            </w:r>
          </w:p>
        </w:tc>
        <w:tc>
          <w:tcPr>
            <w:tcW w:w="4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(35.17</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(31.57</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results of this analysis and its professional judgment and experience, Kipps applied a premium range of 14.5% to 71.4% to the closing price per share of AIR common stock of $3.30 on January 16, 2026. This analysis indicated a range of implied equity values per share of AIR common stock of $3.78 to $5.66, as compared to the unadjusted redemption price.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summary of Kipps’s financial analyses does not purport to be a complete description of the analyses or data presented by Kipps to the AIR Board. In connection with the review of the Original Transactions by the AIR Board, Kipps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Kipps’s opinion. In arriving at its fairness determination, Kipps considered the results of all the analyses and did not draw, in isolation, conclusions from or with regard to any one analysis or factor considered by it for purposes of its opinion. Rather, Kipps made its determination as to fairness on the basis of its professional judgment and experience after considering the results of all the analyses. In addition, Kipps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Kipps with respect to the actual value of the shares of AIR common stock. Further, Kipps’s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AIR or its advisors. Rounding may result in total sums set forth in this section not equaling the total of the figures shown.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prepared these analyses for the purpose of providing an opinion to the AIR Board as to the fairness to the holders of the AIR common stock, from a financial point of view, of the unadjusted redemption price.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Kipps’s analyses are inherently subject to substantial uncertainty, and Kipps assumes no responsibility if future results are materially different from those forecasted in such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Kipps’s financial advisory services and its opinion were provided for the information and benefit of the AIR Board (in its capacity as such) in connection with its evaluation of the proposed Original Transactions. The issuance of Kipps’s opinion was approved by an Opinion Committee of Kipps.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did not recommend any specific amount of consideration to the AIR Board or AIR management or that any specific amount of consideration constituted the only appropriate consideration in the transactions for the holders of the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Kipps’s engagement letter with AIR, AIR has agreed to pay Kipps a fee for its services in the aggregate amount of approximately $1.7 million, of which (i) $100,000 was payable upon execution of the engagement letter and is fully creditable against any fee payable upon the consummation of the merger, (ii) $350,000 was payable upon delivery of Kipps’s opinion in connection with the original merger agreement and is fully creditable against any fee payable upon the consummation of the merger and (iii) the remainder will be payable contingent upon the consummation of the merger. AIR has also agreed to reimburse Kipps for certain of its expenses and to indemnify Kipps against certain liabilities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two-year period prior to the date of its opinion, Kipps and its affiliates have not been engaged to provide financial advisory or other services to AIR and it has not received any compensation from AIR during such period. In addition, during the two-year period prior to the date of its opinion, Kipps and its affiliates have not been engaged to provide financial advisory or other services to Tenax and it has not received any compensation from Tenax during such period. Kipps may provide financial advisory or other services to AIR and Tenax in the future, and in connection with any such services Kipps may receive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Kipps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AIR, Tenax, potential parties to the Original Transactions or the Transactions and/or any of their respective affiliates or persons that are competitors, customers or suppliers of AIR or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engaged Kipps to act as a financial advisor based on Kipps’s qualifications, experience and reputation. Kipps is an internationally recognized investment banking firm in the aerospace, defense and government services industry and provides fairness opinions in connection with transactions and acquisitions, leveraged buyouts and valuations for corporate and other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1" w:name="T9931"/>
      <w:bookmarkEnd w:id="31"/>
      <w:r>
        <w:rPr>
          <w:rFonts w:ascii="Times New Roman PS Std;serif" w:hAnsi="Times New Roman PS Std;serif"/>
          <w:b/>
          <w:i w:val="false"/>
          <w:caps w:val="false"/>
          <w:smallCaps w:val="false"/>
          <w:sz w:val="20"/>
        </w:rPr>
        <w:t xml:space="preserve">Certain Unaudited Prospective Financial Information Used by Our Board of Directors and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does not, as a matter of course, publicly disclose detailed long-term financial forecasts or internal projections as to future performance, earnings or other results given, among other reasons, the uncertainty of the underlying assumptions and estimates. However, in connection with the effort to solicit counterparties and provide them with current financial information, AIR management prepared the Forecasts, which were provided to certain counterparties, the AIR Board and Kipps for its use and reliance in connection with its financial analyses and opinion. The Forecasts speak only as of the time they were prepared and provided to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not prepared for the purpose of public disclosure, and were not prepared in compliance with published guidelines of the SEC or the guidelines established by the American Institute of Certified Public Accountants for preparation and presentation of financial forecasts or projections. The Forecasts were based on numerous variables and assumptions that are inherently uncertain and may be beyond AIR’s control. Accordingly, the Forecasts may not be realized and actual results may differ materially from those reflected in the Forecasts. The summary of the Forecasts included in this proxy statement/prospectus is not intended to influence your decision whether to vote in favor of any of the proposals at the special meeting. The inclusion of this information in this proxy statement/prospectus should not be regarded as an indication that AIR or any of its affiliates, officers, directors, employees, advisors or other representatives considered, or now considers, the Forecasts to be material or necessarily predictive of actual future results or events, and the Forecasts should not be relied upon as such.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AIR’s independent auditors nor any other independent accountants have compiled, examined or performed any procedures with respect to the Forecasts, nor have they expressed any opinion or any other form of assurance on such information or its achievability, and they assume no responsibility for, and disclaim any association with, the Forecasts.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projected revenue, net income and EBITDA reflected in the AIR Forecasts:</w:t>
      </w:r>
    </w:p>
    <w:tbl>
      <w:tblPr>
        <w:tblW w:w="9831" w:type="dxa"/>
        <w:jc w:val="left"/>
        <w:tblInd w:w="0" w:type="dxa"/>
        <w:tblLayout w:type="fixed"/>
        <w:tblCellMar>
          <w:top w:w="0" w:type="dxa"/>
          <w:left w:w="0" w:type="dxa"/>
          <w:bottom w:w="0" w:type="dxa"/>
          <w:right w:w="0" w:type="dxa"/>
        </w:tblCellMar>
      </w:tblPr>
      <w:tblGrid>
        <w:gridCol w:w="1396"/>
        <w:gridCol w:w="146"/>
        <w:gridCol w:w="286"/>
        <w:gridCol w:w="1246"/>
        <w:gridCol w:w="146"/>
        <w:gridCol w:w="286"/>
        <w:gridCol w:w="1246"/>
        <w:gridCol w:w="146"/>
        <w:gridCol w:w="286"/>
        <w:gridCol w:w="1246"/>
        <w:gridCol w:w="146"/>
        <w:gridCol w:w="286"/>
        <w:gridCol w:w="1246"/>
        <w:gridCol w:w="146"/>
        <w:gridCol w:w="286"/>
        <w:gridCol w:w="1291"/>
      </w:tblGrid>
      <w:tr>
        <w:trPr/>
        <w:tc>
          <w:tcPr>
            <w:tcW w:w="13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56,135,000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59,532,000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60,648,000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62,992,000</w:t>
            </w:r>
          </w:p>
        </w:tc>
      </w:tr>
      <w:tr>
        <w:trPr/>
        <w:tc>
          <w:tcPr>
            <w:tcW w:w="1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2,070,000</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3,992,000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earnings before interest, taxes, depreciation and amortization, excluding (as applicable) and reflecting stock-based compensation as an expense. Reconciling projected EBITDA to net income presents inherent difficulty in forecasting certain amounts required for a full reconciliation, for example, interest expense, taxes, amortization, stock based compensation and non-recurring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2" w:name="T9932"/>
      <w:bookmarkEnd w:id="32"/>
      <w:r>
        <w:rPr>
          <w:rFonts w:ascii="Times New Roman PS Std;serif" w:hAnsi="Times New Roman PS Std;serif"/>
          <w:b/>
          <w:i w:val="false"/>
          <w:caps w:val="false"/>
          <w:smallCaps w:val="false"/>
          <w:sz w:val="20"/>
        </w:rPr>
        <w:t xml:space="preserve">Tenax’s 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and the other Transactions, the Tenax Board, with the assistance of Tenax’s management and advisors, weighed a number of factors, both favorable and unfavorable. The factors weighing in favor of the merger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to combine Tenax with an established publicly traded aerospace and defense company, creating a platform with broader capabilities, customer relationships and growth prospects than Tenax has on a stand-alone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complementary nature of the two businesses, AIR’s manufacturing of precision components and assemblies for aerospace and defense contractors, and Tenax’s special mission aircraft and related aviation equipment and services for the governments and other customers, positioning the combined company to participate across a broader portion of the aerospace and defense value chain;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Tenax Board’s expectation of continued growth in demand for special mission aviation supporting national security and public safety missions, which the combined company is better positioned to pursue than Tenax alone;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access to the public capital markets without the time, cost and execution risk associated with a traditional initial public offering, providing the combined company with a publicly traded currency that can be used to support future acquisitions and other growth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long operating history and reputation in the aerospace and defense industry, its established relationships with leading aerospace and defense prime contractors, its funded backlog and unfilled contract value, its skilled workforce and its manufacturing facilities;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Tenax Members will retain a substantial majority of the economic interest in, and voting power of, the combined company and will continue to participate in any future growth and appreciation in the value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for the Tenax Members to hold publicly traded securities that may provide greater liquidity over time than their existing interests in a privately held company, subject to applicable securities laws and contractual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governance structure of the combined company, including the right of the Tenax Members to designate a majority of the members of the board of directors of the combined company at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also considered a number of potentially negative factors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costs associated with operating as a public company, including increased legal, accounting, compliance, reporting and governance obligations;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financial condition, the impending expiration and non-renewal of AIR’s senior credit facility, its negative projected cash flows, need for additional capital and the risk of further deterioration;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cash Tenax or the combined company must fund for the Transactions, including to repay AIR’s indebtedness and on any exercise of the Redemption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of combining two different operating models and the possibility that the anticipated benefits may not be realized;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is not completed, including the resulting harm to Tenax’s business and relationships, the termination fee and expense reimbursement payable in certain circumstances;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of AIR common stock following the merger may not reflect the intrinsic value of the combined company and may be subject to significant volatility due to factors affecting the combined company, the aerospace and defense industry or the broader equity markets;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described in the section entitled “Risk Factors” beginning on page 16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foregoing discussion sets forth the principal factors considered by the Tenax Board, it is not intended to be exhaustive and may not include all of the factors considered by the Tenax Board, and each member of the Tenax Board may have considered different factors or given different weight to each factor. The above factors are not presented in any order of priority. In view of the variety of factors, the amount of information and the complexity of the matters considered, the Tenax Board did not find it practicable to, and did not, make specific assessments of, or assign relative weights to, the specific factors considered. The explanation of the reasoning of the Tenax Board and certain information presented in this section are forward-looking in nature and should be read in light of the factors discussed in the section entitled “Cautionary Statement Regarding Forward-Looking Statements” beginning on page 32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3" w:name="T9933"/>
      <w:bookmarkEnd w:id="33"/>
      <w:r>
        <w:rPr>
          <w:rFonts w:ascii="Times New Roman PS Std;serif" w:hAnsi="Times New Roman PS Std;serif"/>
          <w:b/>
          <w:i w:val="false"/>
          <w:caps w:val="false"/>
          <w:smallCaps w:val="false"/>
          <w:sz w:val="20"/>
        </w:rPr>
        <w:t xml:space="preserve">Interests of Tenax’s Managers and Executive Officers in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members of the Tenax Board and certain of Tenax’s executive officers have interests in the merger that are different from, or in addition to, the interests of Tenax Members generally. These interests may present them with actual or potential conflicts of interest, and these interests, to the extent material, are described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Interests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Tenax’s then-current non-employee managers and executive officers beneficially owned (indirectly through membership interests in NEH and Managers Equity, LLC), in the aggregate, approximately 78% of the Tenax units. Such Tenax units will be converted into shares of AIR common stock at the effective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members of the Tenax Board and three of Tenax’s executive officers are expected to become directors and executive officers, respectively, of the combined company upon the closing of the merger, in connection with which they may enter into new employment agreements to reflect their status as executive officers of a publicly-traded company. For more information, see the sections entitled “Management and Directors of the Combined Company” beginning on page 146 of this proxy statement/prospectus and “Executive Officer and Director Compensation of the Combined Company” beginning on page 151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Relationships and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Chairman of Tenax, and Taran Bakker, a member of the Tenax Board, are parties to certain agreements with Tenax and will be parties to certain agreements with the combined company following the merger. For more information, see the section entitled “Certain Relationships and Related Party Transactions of the Combined Company” beginning on page 153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4" w:name="T9934"/>
      <w:bookmarkEnd w:id="34"/>
      <w:r>
        <w:rPr>
          <w:rFonts w:ascii="Times New Roman PS Std;serif" w:hAnsi="Times New Roman PS Std;serif"/>
          <w:b/>
          <w:i w:val="false"/>
          <w:caps w:val="false"/>
          <w:smallCaps w:val="false"/>
          <w:sz w:val="20"/>
        </w:rPr>
        <w:t xml:space="preserve">Governance of AIR Following the Merger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AIR Board will be composed of no fewer than eight directors, which shall consist only of (a) no fewer than six individuals designated by Tenax, namely Thomas Foley, Taran Bakker, Michael Ewald, Donald Fawcett, Bryan Fenton, DeWolfe Miller and John Young, and (b) two individuals to be mutually agreed upon by Tenax and AIR, namely [•] and [•],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 Donald Fawcett, Bryan Fenton, DeWolfe Miller, John Young, [•] and [•] are expected to be “independent directors” within the meaning of Item 407(a)(1) and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Audit Committee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“Management and Directors of the Combined Company” beginning on page 146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executive team following the merger will draw on the leadership teams of AIR and Tenax. In particular, Jim Linder, Ignacio Ladegui and Alan Oswalt, current executive officers of Tenax, will become Chief Executive Officer, Chief Financial Officer and EVP of Operations, respectively, of the combined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and its members, through the date on which the merger agreement was signed by all parties, made no arrangements with, and made no offers to, any members of AIR’s management team regarding continued employment with AIR.</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“Management and Directors of the Combined Company” beginning on page 146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Controlled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AIR will be a “controlled company” for purposes of Section 801(a) of the NYSE American Company Guide and, if and for so long as it so qualifies, intends to rely on exemptions from certain governance standards.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The controlled company exemption does not modify the independence requirements for the Audit Committee, and AIR intends to continue to comply with the requirements of the NYSE American rules with respect thereto.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Smaller Reporting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35"/>
      <w:bookmarkEnd w:id="35"/>
      <w:r>
        <w:rPr>
          <w:rFonts w:ascii="Times New Roman PS Std;serif" w:hAnsi="Times New Roman PS Std;serif"/>
          <w:b/>
          <w:i w:val="false"/>
          <w:caps w:val="false"/>
          <w:smallCaps w:val="false"/>
          <w:sz w:val="20"/>
        </w:rPr>
        <w:t xml:space="preserve">Closing and Effective Time of the Merger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will take place on the third business day following the satisfaction or written waiver, where permissible</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of the conditions to the closing of the merger (other than those conditions that by their nature are to be satisfied at the closing, but subject to the satisfaction or written waiver, where permissible, of such conditions), or at such other time and date as shall be agreed in writing between AIR and Tenax. Subject to the satisfaction or waiver of the conditions to the closing described in the section entitled “The Merger Agreement — Conditions to Completion of the Merger” beginning on page 80 of this proxy statement/prospectus, it is currently anticipated that the merger will close in September 2026. It is possible that factors outside the control of both parties could result in the merger being completed at a different time, or not at all.</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on the closing date, Tenax will cause the certificate of merger to be filed with the Secretary of State of the State of Delaware in such form as is required by, and executed in accordance with, the relevant provisions of the DLLCA. The merger will become effective upon the filing of the certificate of merger with the Secretary of State of the State of Delaware, or such later date and time as is specified in the certificate of merger and agreed to by AIR and Tenax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36"/>
      <w:bookmarkEnd w:id="36"/>
      <w:r>
        <w:rPr>
          <w:rFonts w:ascii="Times New Roman PS Std;serif" w:hAnsi="Times New Roman PS Std;serif"/>
          <w:b/>
          <w:i w:val="false"/>
          <w:caps w:val="false"/>
          <w:smallCaps w:val="false"/>
          <w:sz w:val="20"/>
        </w:rPr>
        <w:t xml:space="preserve">Regulatory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and the rules promulgated thereunder, the merger may not be completed until notification and report forms have been filed with the FTC and the DOJ and the applicable waiting period, or any extensions thereof, has expired or been terminated. The initial HSR Act waiting period is up to 30 days following the filing of the notification and report forms, unless earlier terminated by the FTC and the DOJ.</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 Pursuant to the merger agreement, Tenax and its affiliates are not required to agree to any prohibition or limitation on their ownership or operation of their businesses, any divestiture, hold-separate arrangement or any other restriction on their ability to operate their businesses, nor are they obligated to litigate before the FTC or DOJ, in order to obtain regulatory clearance.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15, 2026, Thomas Foley filed a notification and report form pursuant to the HSR Act with the FTC and the DOJ with respect to his proposed acquisition of AIR common stock in connection with the merger. The applicable waiting period expired on June 15,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or after consummation of the merger, notwithstanding the expiration or termination of the waiting period under the HSR Act, the DOJ, the FTC or any U.S. state could take such action under the Antitrust Laws as it deems necessary or desirable in the public interest, including seeking to enjoin the completion of the merger or seeking divestiture of substantial assets of AIR or Tenax. Private parties may also seek to take legal action under the Antitrust Laws under certain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a challenge to the Transactions on antitrust grounds will not be made or, if such a challenge is made, what the result will be. The required regulatory and other approvals are discussed under the section entitled “The Merger Agreement — Covenants and Agreements — Reasonable Best Efforts; Further Action” beginning on page 78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37"/>
      <w:bookmarkEnd w:id="37"/>
      <w:r>
        <w:rPr>
          <w:rFonts w:ascii="Times New Roman PS Std;serif" w:hAnsi="Times New Roman PS Std;serif"/>
          <w:b/>
          <w:i w:val="false"/>
          <w:caps w:val="false"/>
          <w:smallCaps w:val="false"/>
          <w:sz w:val="20"/>
        </w:rPr>
        <w:t xml:space="preserve">Accounting Treatment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be accounted for as a reverse merger using the acquisition method of accounting in accordance with Topic 805. For accounting purposes, Tenax will be treated as the accounting acquirer and AIR will be treated as the accounting acquiree. As a result, Tenax’s historical consolidated financial statements will become those of the combined company, and AIR’s identifiable assets and liabilities will be recognized at their estimated fair values as of the closing date in accordance with the acquisition method of accounting.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38"/>
      <w:bookmarkEnd w:id="38"/>
      <w:r>
        <w:rPr>
          <w:rFonts w:ascii="Times New Roman PS Std;serif" w:hAnsi="Times New Roman PS Std;serif"/>
          <w:b/>
          <w:i w:val="false"/>
          <w:caps w:val="false"/>
          <w:smallCaps w:val="false"/>
          <w:sz w:val="20"/>
        </w:rPr>
        <w:t xml:space="preserve">Dividend Policy Following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not declared or paid any cash dividends on its common stock in recent years and does not currently anticipate paying cash dividends in the foreseeable future, other than the dividend of Redemption Rights to be declared in connection with the Transactions. Any future dividends will be at the discretion of the AIR Board and will depend on AIR’s financial condition, results of operations, capital requirements and other factors the AIR Board deems relevant, and will be subject to applicable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39"/>
      <w:bookmarkEnd w:id="39"/>
      <w:r>
        <w:rPr>
          <w:rFonts w:ascii="Times New Roman PS Std;serif" w:hAnsi="Times New Roman PS Std;serif"/>
          <w:b/>
          <w:i w:val="false"/>
          <w:caps w:val="false"/>
          <w:smallCaps w:val="false"/>
          <w:sz w:val="20"/>
        </w:rPr>
        <w:t xml:space="preserve">Listing of the Combined Company Common Stock on NYSE American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common stock is currently listed on NYSE American under the symbol “AIRI” and is expected to continue to be listed on NYSE American following the consummation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40"/>
      <w:bookmarkEnd w:id="40"/>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section summarizes certain material provisions of the merger agreement, which is included in this proxy statement/prospectus as Annex A and is incorporated by reference herein. The summary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This section is not intended to provide you with any factual information about Tenax or AIR. The rights and obligations of Tenax and AIR are governed by the merger agreement and not by this summary or any other information contained in or incorporated by reference into this proxy statement/prospectus. AIR stockholders are urged to read the merger agreement carefully and in its entirety, as well as this proxy statement/prospectus and the information incorporated by reference into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41"/>
      <w:bookmarkEnd w:id="41"/>
      <w:r>
        <w:rPr>
          <w:rFonts w:ascii="Times New Roman PS Std;serif" w:hAnsi="Times New Roman PS Std;serif"/>
          <w:b/>
          <w:i w:val="false"/>
          <w:caps w:val="false"/>
          <w:smallCaps w:val="false"/>
          <w:sz w:val="20"/>
        </w:rPr>
        <w:t xml:space="preserve">Explanatory Note Regarding 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attached to this proxy statement/prospectus as Annex A and described in this summary to provide you with information regarding its terms. The merger agreement contains representations and warranties by AIR and Merger Sub, on the one hand, and by Tenax, on the other hand, which were made solely for the benefit of the other parties for purposes of the merger agreement. The representations, warranties and covenants made in the merger agreement by Tenax, AIR and Merger Sub were qualified and subject to important limitations agreed to by Tenax, AIR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allocating risk between the parties to the merger agreement, rather than establishing matters as facts about AIR or Tenax or any other person at the time they were made or otherwise. The representations and warranties may also be subject to a contractual standard of materiality different from that generally applicable to stockholders and reports and documents filed with the SEC, and some were qualified by the matters contained in the confidential disclosure letters that each of AIR and Tenax delivered in connection with the merger agreement as well as certain documents filed with the SEC. Moreover, information concerning the subject matter of the representations and warranties, which do not purport to be accurate as of the date of this proxy statement/prospectus, may have changed since February 16, 2026. Accordingly, the representations and warranties and other provisions of the merger agreement should not be read alone, but instead should be read together with the information provided elsewhere in this proxy statement/prospectus and in the documents incorporated by reference into this proxy statement/prospectus. See “Where You Can Find More Information” beginning on page 177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42"/>
      <w:bookmarkEnd w:id="42"/>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among other matters, for the acquisition of Tenax pursuant to a merger, on the terms and subject to the conditions in the merger agreement and in accordance with the DLLCA. Pursuant to the merger agreement, at the effective time, Merger Sub will be merged with and into Tenax, with Tenax continuing as the surviving company and as a wholly owned subsidiary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Tenax’s certificate of formation as of immediately prior to the effective time will continue to be the certificate of formation of the surviving company, and the limited liability company agreement in the form set forth in Exhibit D to the merger agreement shall be the limited liability company agreement of the surviving company. In addition, at the closing, AIR will amend its bylaws to remove the provision prohibiting stockholder action by written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will take all requisite action (including to the extent necessary increasing the size of the AIR Board) so that, from and after the effective time, the AIR Board will include no fewer than eight directors, which will consist only of (a) no fewer than six individuals designated by Tenax and (b) two individuals to be mutually agreed upon by Tenax and AIR, each to hold office in accordance with the articles of incorporation and bylaws of AIR. The officers of Tenax immediately prior to the effective time will be the officers of the surviving company, each until their respective successors are duly elected and qualified or until such officer’s earlier death, resignation or removal.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43"/>
      <w:bookmarkEnd w:id="43"/>
      <w:r>
        <w:rPr>
          <w:rFonts w:ascii="Times New Roman PS Std;serif" w:hAnsi="Times New Roman PS Std;serif"/>
          <w:b/>
          <w:i w:val="false"/>
          <w:caps w:val="false"/>
          <w:smallCaps w:val="false"/>
          <w:sz w:val="20"/>
        </w:rPr>
        <w:t xml:space="preserve">Closing; Effective Time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on the third business day after the satisfaction or written waiver (where permissible) of the conditions to closing (other than those conditions that by their terms are to be satisfied at the closing, but subject to the satisfaction or written waiver (where permissible) of those conditions at the closing), unless another date is agreed to in writing by Tenax and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following the receipt of the requisite AIR stockholder approvals at the special meeting, AIR will cause the amendment to AIR’s articles of incorporation to be filed with the Nevada Secretary of State in such form as required by, and executed in accordance with, the relevant provisions of the NRS and, promptly following the effectiveness of that amendment but prior to the closing, AIR will cause a certificate of change effecting the reverse stock split to be filed with the Nevada Secretary of State in accordance with NRS 78.207. As soon as practicable on the closing date, Tenax will cause a certificate of merger to be filed with the Secretary of State of the State of Delaware as provided by the DLLCA, and each of AIR, Merger Sub and Tenax will make all other filings or recordings required under the NRS or the DLLCA in connection with the merger (if any). The merger will become effective at such time as the certificate of merger is filed with the Secretary of State of the State of Delaware or at such later date and time as is specified in the certificate of merger and agreed to by AIR and Tenax in writing.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44"/>
      <w:bookmarkEnd w:id="44"/>
      <w:r>
        <w:rPr>
          <w:rFonts w:ascii="Times New Roman PS Std;serif" w:hAnsi="Times New Roman PS Std;serif"/>
          <w:b/>
          <w:i w:val="false"/>
          <w:caps w:val="false"/>
          <w:smallCaps w:val="false"/>
          <w:sz w:val="20"/>
        </w:rPr>
        <w:t xml:space="preserve">Conversion of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at the effective time, each Tenax unit will be converted into the right to receive the portion of the merger consideration allocated in respect thereof, calculated in accordance with the capitalization schedule, which Tenax is required to deliver no less than two business days prior to the closing, and each holder of a Tenax unit immediately prior to the effective time will thereafter cease to have any rights with respect to such Tenax unit, except the right to receive the merger consideration in respect thereof. After the effective time, there will be no further registration of transfers of Tenax units.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at the effective time, all membership interests of Merger Sub issued and outstanding immediately prior to the effective time will be converted into 100% of the membership interests of the surviving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45"/>
      <w:bookmarkEnd w:id="45"/>
      <w:r>
        <w:rPr>
          <w:rFonts w:ascii="Times New Roman PS Std;serif" w:hAnsi="Times New Roman PS Std;serif"/>
          <w:b/>
          <w:i w:val="false"/>
          <w:caps w:val="false"/>
          <w:smallCaps w:val="false"/>
          <w:sz w:val="20"/>
        </w:rPr>
        <w:t xml:space="preserve">Merger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is defined as 126,900,000 shares of AIR common stock, to be issued to the Tenax Members and, as applicable, reserved for issuance to the Tenax Warrantholders upon the exercise of their warrants as described in the section entitled “The Merger Agreement — Covenants and Agreements — Exchange Procedures” beginning on page 66 of this proxy statement/prospectus, subject to equitable adjustment to reflect appropriately the effect of any subdivision, stock dividend, stock split (including the reverse stock split), combination, recapitalization, exchange of shares, reclassification or other like change with respect to AIR common stock occurring on or after February 16, 2026 and prior to the closing. After giving effect to the proposed amendment to the articles of incorporation of AIR contemplated by the authorized shares proposal and the subsequent reverse stock split, the merger consideration would consist of 25,380,000 shares of AIR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46"/>
      <w:bookmarkEnd w:id="46"/>
      <w:r>
        <w:rPr>
          <w:rFonts w:ascii="Times New Roman PS Std;serif" w:hAnsi="Times New Roman PS Std;serif"/>
          <w:b/>
          <w:i w:val="false"/>
          <w:caps w:val="false"/>
          <w:smallCaps w:val="false"/>
          <w:sz w:val="20"/>
        </w:rPr>
        <w:t xml:space="preserve">Exchange Procedures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effective time, AIR will deposit, or cause to be deposited, with Broadridge Corporate Issuer Solutions (the “</w:t>
      </w:r>
      <w:r>
        <w:rPr>
          <w:rFonts w:ascii="Times New Roman PS Std;serif" w:hAnsi="Times New Roman PS Std;serif"/>
          <w:b w:val="false"/>
          <w:i w:val="false"/>
          <w:caps w:val="false"/>
          <w:smallCaps w:val="false"/>
          <w:sz w:val="20"/>
          <w:u w:val="single"/>
        </w:rPr>
        <w:t>Transfer Agent</w:t>
      </w:r>
      <w:r>
        <w:rPr>
          <w:rFonts w:ascii="Times New Roman PS Std;serif" w:hAnsi="Times New Roman PS Std;serif"/>
          <w:b w:val="false"/>
          <w:i w:val="false"/>
          <w:caps w:val="false"/>
          <w:smallCaps w:val="false"/>
          <w:sz w:val="20"/>
        </w:rPr>
        <w:t>”), in trust for the benefit of the Tenax Members, a number of shares of AIR common stock, in book-entry or certificated form, equal to the portion of the merger consideration issuable to the Tenax Members in accordance with the capitalization schedule that Tenax is required to deliver prior to closing for the purpose of exchanging Tenax units for the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effective time, Tenax will provide to each person who is or will be, as of immediately prior to the effective time, a Tenax Member a letter of transmittal, which will contain representations and warranties customary for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each Tenax Member will be entitled to receive (following the effective time), in exchange for such Tenax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Tenax units, the portion of the merger consideration allocated to such Tenax Member in accordance with the capitalization schedule that Tenax is required to deliver prior to closing (together with cash in lieu of fractional shares), and such Tenax Member’s Tenax units will be canceled. After the effective time, any Tenax units will be deemed to represent only the right to receive the merger consideration upon such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 on any cash payable upon exchange of any Tenax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47"/>
      <w:bookmarkEnd w:id="47"/>
      <w:r>
        <w:rPr>
          <w:rFonts w:ascii="Times New Roman PS Std;serif" w:hAnsi="Times New Roman PS Std;serif"/>
          <w:b/>
          <w:i w:val="false"/>
          <w:caps w:val="false"/>
          <w:smallCaps w:val="false"/>
          <w:sz w:val="20"/>
        </w:rPr>
        <w:t xml:space="preserve">No Fractional Shares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not issue fractional shares of AIR common stock in the merger. Fractional shares of AIR common stock that would otherwise be allocable to any Tenax Members in the merger will be aggregated, and calculations will be rounded up to three decimal places. The Transfer Agent will cause the whole shares obtained thereby to be sold, in the open market or otherwise as reasonably directed by AIR, and in no case later than 20 business days after the effective time, and will make available the net proceeds thereof, on a pro rata basis, without interest and subject to the amount of any withholding taxes as contemplated in the merger agreement, as soon as practicable to the Tenax Members entitled to receive such cash.</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48"/>
      <w:bookmarkEnd w:id="48"/>
      <w:r>
        <w:rPr>
          <w:rFonts w:ascii="Times New Roman PS Std;serif" w:hAnsi="Times New Roman PS Std;serif"/>
          <w:b/>
          <w:i w:val="false"/>
          <w:caps w:val="false"/>
          <w:smallCaps w:val="false"/>
          <w:sz w:val="20"/>
        </w:rPr>
        <w:t xml:space="preserve">Repayment of Payoff Debt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Tenax or one of its affiliates will repay, or cause to be repaid, on behalf of AIR and its subsidiaries, the outstanding balance of certain indebtedness of AIR in accordance with the payoff letters furnished to Tenax. See the section entitled “The Merger Agreement — Covenants and Agreements — Payoff Letters” beginning on page 79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49"/>
      <w:bookmarkEnd w:id="49"/>
      <w:r>
        <w:rPr>
          <w:rFonts w:ascii="Times New Roman PS Std;serif" w:hAnsi="Times New Roman PS Std;serif"/>
          <w:b/>
          <w:i w:val="false"/>
          <w:caps w:val="false"/>
          <w:smallCaps w:val="false"/>
          <w:sz w:val="20"/>
        </w:rPr>
        <w:t xml:space="preserve">AIR Equity Awards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AIR Equity Award that is outstanding as of immediately prior to the effective time will continue on the same terms and conditions as were applicable to such AIR Equity Awards as of immediately prior to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50"/>
      <w:bookmarkEnd w:id="50"/>
      <w:r>
        <w:rPr>
          <w:rFonts w:ascii="Times New Roman PS Std;serif" w:hAnsi="Times New Roman PS Std;serif"/>
          <w:b/>
          <w:i w:val="false"/>
          <w:caps w:val="false"/>
          <w:smallCaps w:val="false"/>
          <w:sz w:val="20"/>
        </w:rPr>
        <w:t xml:space="preserve">Representations and Warranties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AIR, Merger Sub and Tenax that are subject to certain exceptions and qualifications (including exceptions and qualifications related to knowledge, materiality and material adverse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AIR and Merger Sub relating to, among other things,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due organization, valid existence, good standing and qualification to do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power and authority;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consents and absence of certain conflicts;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permits;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internal controls and procedures;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for inclusion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operations of Merger Sub;</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legal proceedings and governmental orders;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privacy and data protection and artificial intelligence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finders’ or brokers’ fees;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payments prohibited under money laundering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inapplicability of anti-takeover laws;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advisor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Tenax relating to, among other things, the following: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due organization, valid existence, good standing and qualification to do business;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power and authority;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consents and absence of certain conflicts;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permits;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internal controls and procedures;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for inclusion in this proxy statement/prospectus;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sufficiency of funds;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legal proceedings and governmental orders;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privacy and data protection and artificial intelligence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finders’ or brokers’ fees;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contracts;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payments prohibited under money laundering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representations and warranties in the merger agreement are qualified by a “materiality” or “material adverse effect” standard (that is, they will not be deemed to be untrue or incorrect unless their failure to be true or correct would be material to, or have a material adverse effect on, the applicable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an “AIR Material Adverse Effect” or “Tenax Material Adverse Effect” means, with respect to AIR and its subsidiaries or Tenax and its subsidiaries, respectively,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such party and its subsidiaries taken as a whole; or (b) would reasonably be expected to prevent or materially impede, materially interfere with, materially hinder or materially delay the consummation of the Transactions by such party or otherwise prevent such party from performing its obligations under the merger agreement. In addition, the definition of an “AIR Material Adverse Effect” also includes certain liquidity-related events affecting AIR, including, but not limited to, the commencement of insolvency or bankruptcy proceedings against AIR or any of its subsidiaries, or the acceleration of AIR’s material indebtedness prior to its stated maturity. However, with respect to clause (a), any event, occurrence, state of facts, development, circumstance, change or effect to the extent resulting from the following shall not be taken into account in determining whether an AIR Material Adverse Effect or Tenax Material Adverse Effect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market price, trading volume or credit ratings of AIR common stock or Tenax equity interests, as applicable, or any failure, in and of itself, to meet internal or public revenue or earnings projections, forecasts, guidance, estimates, milestones or budgets for any period ending (or for which revenues or earnings are released) on or after February 16, 2026 (though the facts or causes underlying or contributing to such change or failure shall be considered in determining whether an AIR Material Adverse Effect or Tenax Material Adverse Effect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legal, regulatory or political conditions, or in the financial, credit or capital markets in general;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GAAP, or in any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markets or industries in which such party and its subsidiaries operate (including legal and regulatory changes);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acts of civil unrest or war (whether or not declared), armed hostilities or terrorism or any escalation or worsening of any acts of civil unrest or war (whether or not declared), armed hostilities or terrorism under way as of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volcanic eruptions or other natural disasters or any epidemic or pandemic;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resulting or arising from the identity of the other party or any of the other party’s affiliates;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announcement, pendency or performance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in the case of the second, third, fourth, fifth and sixth bullet points above, such party and its subsidiaries, taken as a whole, are not affected disproportionately relative to other participants in the industries in which they operate.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in the merger agreement will not survive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51"/>
      <w:bookmarkEnd w:id="51"/>
      <w:r>
        <w:rPr>
          <w:rFonts w:ascii="Times New Roman PS Std;serif" w:hAnsi="Times New Roman PS Std;serif"/>
          <w:b/>
          <w:i w:val="false"/>
          <w:caps w:val="false"/>
          <w:smallCaps w:val="false"/>
          <w:sz w:val="20"/>
        </w:rPr>
        <w:t xml:space="preserve">Other Covenants and Agreements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Conduct of Business of AIR Prior to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AIR has agreed that, between February 16, 2026 and the effective time, except as set forth in the confidential disclosure letter delivered by AIR to Tenax in connection with the original merger agreement, as expressly contemplated by the merger agreement or with the prior written consent of Tenax (which consent shall not be unreasonably withheld, delayed or conditioned), AIR will, and will cause each of its subsidiaries to, use reasonable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best efforts to conduct its business in all material respects in the ordinary course consistent with past practice and in material compliance with applicable law and all AIR’s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between February 16, 2026 and the effective time, except as set forth in the confidential disclosure letter delivered by AIR to Tenax in connection with the original merger agreement, as expressly contemplated by the merger agreement or with the prior written consent of Tenax (which consent shall not be unreasonably withheld, delayed or conditioned), AIR has agreed that it will not, and will cause each AIR subsidiary not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or otherwise change AIR’s articles of incorporation or bylaws or equivalent organizational documents, or the equivalent organizational documents of any of its subsidiaries, or create any new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AIR with any other person or restructure, reorganize or completely or partially liquidate;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common stock issuable pursuant to the exercise of AIR stock options or the settlement of AIR RSUs, in each case, outstanding on February 16, 2026 in accordance with their terms and the terms of the AIR Stock Plans as in effect on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repurchase, redeem or otherwise acquire any outstanding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sell, lease, license, pledge or dispose of or (ii) grant an encumbrance on, or permit an encumbrance to exist on, any properties or assets (other than intellectual property) or any interests therein of AIR or any of its subsidiaries, other than as permitted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sublease, license, sublicense, assign or otherwise grant rights under any AIR owned intellectual property (except for non-exclusive licenses granted to customers and suppliers of AIR in the ordinary course of business consistent with past practice) or transfer, cancel, abandon or fail to renew, maintain or diligently pursue applications for or otherwise dispose of any AIR owned intellectual property;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any assets outside the ordinary course of business consistent with past practice from any other person for consideration in excess of $100,000 in any individual transaction or series of related transactions or $250,000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any indebtedness or guarantee such indebtedness of another person, or issue or sell any debt securities or warrants or other rights to acquire any debt security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capital expenditure in excess of $500,000 in the aggregate during any 12-month period beginning on or after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in any material respect any accounting policies or procedures, other than as required by GAAP or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applicable law, (i) make any material change (or file any such change) in any method of tax accounting; (ii) make, change or rescind any material tax election; (iii) settle or compromise any material tax liability or consent to any claim or assessment or enter into any closing agreement relating to a material amount of taxes; (iv) file any material amended tax return; (v) file any claim for refund of a material amount of taxes; or (vi) waive or extend the statute of limitations in respect of material taxes;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the terms of AIR’s employee benefit plans or AIR’s collective bargaining agreements: (i) adopt, enter into, terminate, modify or amend any of AIR’s collective bargaining agreements or AIR’s employee benefit plans; (ii) increase in any manner the compensation, bonus or fringe or other benefits of, or grant or pay any discretionary bonus of any kind or amount whatsoever; (iii) grant, pay or increase any change-in-control, retention, severance or termination pay; (iv) grant or modify any awards (including grants of any stock or stock-based awards or the removal of existing restrictions in any of AIR’s employee benefit plans or awards made thereunder); (v) take any action to fund or secure the payment of compensation or benefits under any of AIR’s employee benefit plans; (vi) take any action to accelerate the vesting or payment of compensation or benefits under any of AIR’s employee benefit plans or awards made thereunder; (vii) materially change any actuarial or other assumption used to calculate funding obligations with respect to any of AIR’s employee benefit plans or change the manner in which contributions to any of AIR’s employee benefit plans are made or the basis on which such contributions are determined (except as may be required for continued compliance with generally accepted accounting principles); or (viii) terminate or hire any service provider, other than terminations for cause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may hire service providers to replace departed service providers in the ordinary course of business consistent with past practice and may terminate or hire service providers with an annual base salary less than $150,000 in the ordinary course of business consistent with past practice);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law or any judgment by a court of competent jurisdiction, (i) pay, discharge, settle or satisfy any material claims, liabilities, obligations or litigation (absolute, accrued, asserted or unasserted, contingent or otherwise), other than in the ordinary course of business consistent with past practice, of liabilities disclosed, reflected or reserved against in the AIR financial statements or incurred since the date of such AIR financial statements in the ordinary course of business consistent with past practice; (ii) cancel or compromise any material indebtedness; or (iii) waive or assign any claims or rights of material value;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terminate, cancel, modify, amend or fail to renew any material contract or real property lease, or any contract or real property lease that, if existing on February 16, 2026, would have been a material contract or real property lease, or waive, release or assign any material rights or claims thereunder, in each case, other than in the ordinary course of business consistent with past practice;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modify, amend or terminate any contract, or waive, release or assign any material rights or claims thereunder, which would reasonably be expected to (i) impair in any material respect the ability of AIR to perform its obligations under the merger agreement or (ii) prevent or materially impede, interfere with, hinder or delay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any material permit in any material respect, or allow any material permit to lapse, expire or terminate, other than (i) amendments, renewals or extensions of permits in the ordinary course of business consistent with past practice or (ii) non-renewal or non-extension of permits that are not necessary to conduct AIR’s business as then conducted;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apply for or cause to be approved the listing of shares of AIR common stock on any stock exchange;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commit or agree to do any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Conduct of Business of Tenax Prior to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agreed that, between February 16, 2026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will, and will cause each of its subsidiaries to, use reasonable best efforts to conduct its business in all material respects in the ordinary course consistent with past practice and in material compliance with applicable law and all Tenax’s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between February 16, 2026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has agreed that it will not, and will cause each Tenax subsidiary not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or otherwise change Tenax’s certificate of formation, limited liability company agreement or equivalent organizational documents, except for any amendments or changes that would not (i) materially delay, materially impede or prevent the consummation of the Transactions or (ii) adversely affect the AIR stockholders in any material respect differently than the Tenax Members;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new line of business that is material to Tenax and its subsidiaries, taken as a whole;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commit or agree to do any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Interfering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February 16, 2026 through the earlier of the closing and the termination of the merger agreement, neither Tenax nor AIR will, nor will permit its subsidiaries to, enter into any agreement to acquire another business or effect any transaction that is reasonably likely to prevent or impede, interfere with, hinder or delay in any material respect the consummation of the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that AIR will call, give notice of, convene and hold the special meeting as promptly as reasonably practicable following the date upon which the registration statement of which this proxy statement/prospectus forms a part has been declared effective under the Securities Act, with the record date and meeting date to be set by the AIR Board after consultation with Tenax. AIR will, as promptly as reasonably practicable following the date of the merger agreement, set a record date for determining the AIR stockholders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entitled to notice of, and to vote at, the special meeting, which record date will be at least 20 business days following the initiation of a broker search conducted pursuant to Rule 14a-13 under the Exchange Act. AIR may not change the date of, postpone or adjourn the special meeting without Tenax’s consent (not to be unreasonably withheld, conditioned or delayed), except that AIR may postpone or adjourn the special meeting no more than two times under specified circumstances, and in no event to a date more than 30 days after the date for which the special meeting was originally scheduled, without Tenax’s prior written consent. The merger agreement further provides that the AIR Board will recommend that the AIR stockholders vote in favor of the approval of the stock issuance proposal, the authorized shares proposal and the written consent proposal and will use its reasonable best efforts to solicit proxies from the AIR stockholders constituting the requisite AIR stockholder approvals.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not change the date of, postpone or adjourn the meeting without the consent of Tenax (which may not be unreasonably withheld, conditioned or delayed), except, and no more than two times, (i) for adjournments or postponements to ensure that any required supplement or amendment to this proxy statement/prospectus is provided to the AIR stockholders within a reasonable amount of time in advance of the meeting; (ii) to allow reasonable additional time to solicit proxies in favor of approval of the stock issuance proposal, the authorized shares proposal and the written consent proposal; (iii) if there are insufficient shares of AIR common stock represented at the meeting (either in person or by proxy) to constitute the necessary quorum or if AIR has not received proxies sufficient to allow the receipt of the requisite AIR stockholder approvals at the meeting; or (iv) as required by law. Tenax may cause AIR to postpone or adjourn the meeting once if AIR has not received proxies sufficient to allow the receipt of the requisite AIR stockholder approvals at the meeting and Tenax informs AIR that Tenax believes in good faith that additional time is required to solicit proxies in favor of approval of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Solicitation by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contract or agreement which could reasonably be expected to lead to any Competing AIR Proposal; or (v) 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AIR has agreed to, and to cause its subsidiaries and its and its subsidiaries’ representatives to, immediately cease and cause to be terminated all existing discussions or negotiations with any persons conducted prior to the execution of the merger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AIR will thereafter keep Tenax fully informed of the status and material details (including any change to the terms thereof) of any such Competing AIR Proposal or inquiry and provide to Tenax,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on the one hand, and the person making such Competing AIR Proposal or inquiry, on the other hand.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AIR may, subject to compliance with the terms of the merger agreement, furnish information to, and enter into discussions with, a person who has made, after February 16, 2026, an unsolicited, written, bona fide Competing AIR Proposal, so long as such Competing AIR Proposal did not result from a breach of the merger agreement and prior to furnishing such information and entering into such discussions, the AIR Board: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is reasonably likely to lead to, a Superior Proposal and the failure to furnish such information to, or enter into such discussions with, the person who made such Competing AIR Proposal would violate the AIR Board’s fiduciary duties under the NRS;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such information to Tenax (or provides such information to Tenax substantially concurrent with the time it is provided to such person);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obtains from such person a confidentiality agreement that contains terms no less favorable to AIR than those contained in the existing confidentiality agreement between AIR and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val="false"/>
          <w:i w:val="false"/>
          <w:caps w:val="false"/>
          <w:smallCaps w:val="false"/>
          <w:sz w:val="20"/>
          <w:u w:val="single"/>
        </w:rPr>
        <w:t>Competing AIR Proposal</w:t>
      </w:r>
      <w:r>
        <w:rPr>
          <w:rFonts w:ascii="Times New Roman PS Std;serif" w:hAnsi="Times New Roman PS Std;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val="false"/>
          <w:i w:val="false"/>
          <w:caps w:val="false"/>
          <w:smallCaps w:val="false"/>
          <w:sz w:val="20"/>
          <w:u w:val="single"/>
        </w:rPr>
        <w:t>Superior Proposal</w:t>
      </w:r>
      <w:r>
        <w:rPr>
          <w:rFonts w:ascii="Times New Roman PS Std;serif" w:hAnsi="Times New Roman PS Std;serif"/>
          <w:b w:val="false"/>
          <w:i w:val="false"/>
          <w:caps w:val="false"/>
          <w:smallCaps w:val="false"/>
          <w:sz w:val="20"/>
        </w:rPr>
        <w:t>” means an unsolicited written bona fide offer made by a third party with respect to a Competing AIR Proposal (other than pursuant to clause (e) of such definition above) which the AIR Board reasonably determines, in its good-faith judgment, after having received the advice of a financial advisor of nationally recognized reputation and outside legal counsel, to be (a) more favorable to the AIR stockholders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the merger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has made the AIR Recommendation. In connection with the AIR Recommendation, the merger agreement provides that the AIR Board, or any committee thereof, may not: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withdraw, qualify, modify or amend, or publicly propose to fail to make, withdraw, qualify, modify or amend the AIR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AIR Recommendation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or recommend, or propose publicly to adopt or recommend, any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agreement relating to a Competing AIR Proposal (except as otherwise specified in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public statement that is inconsistent with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prior to the receipt of the requisite AIR stockholder approvals, the AIR Board may take any of the foregoing actions (any such action, a “</w:t>
      </w:r>
      <w:r>
        <w:rPr>
          <w:rFonts w:ascii="Times New Roman PS Std;serif" w:hAnsi="Times New Roman PS Std;serif"/>
          <w:b w:val="false"/>
          <w:i w:val="false"/>
          <w:caps w:val="false"/>
          <w:smallCaps w:val="false"/>
          <w:sz w:val="20"/>
          <w:u w:val="single"/>
        </w:rPr>
        <w:t>Change in the AIR Recommendation</w:t>
      </w:r>
      <w:r>
        <w:rPr>
          <w:rFonts w:ascii="Times New Roman PS Std;serif" w:hAnsi="Times New Roman PS Std;serif"/>
          <w:b w:val="false"/>
          <w:i w:val="false"/>
          <w:caps w:val="false"/>
          <w:smallCaps w:val="false"/>
          <w:sz w:val="20"/>
        </w:rPr>
        <w:t>”) if, in response to the receipt of an unsolicited, written, bona fide Competing AIR Proposal received after February 16, 2026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Further, the AIR Board may not make a Change in the AIR Recommendation unless the following criteria are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AIR Board is making a Change in the AIR Recommendation relating to a Competing AIR Proposal, such Competing AIR Proposal constitutes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provides a period of five business days following Tenax’s receipt of such notice during which AIR will negotiate in good faith with Tenax regarding any revisions to the terms of the merger agreement proposed by Tenax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any material change regarding such Intervening Event, or any amendments to the financial terms or any other material term of such Superior Proposal will require a new notice period of three business days);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 the term “</w:t>
      </w:r>
      <w:r>
        <w:rPr>
          <w:rFonts w:ascii="Times New Roman PS Std;serif" w:hAnsi="Times New Roman PS Std;serif"/>
          <w:b w:val="false"/>
          <w:i w:val="false"/>
          <w:caps w:val="false"/>
          <w:smallCaps w:val="false"/>
          <w:sz w:val="20"/>
          <w:u w:val="single"/>
        </w:rPr>
        <w:t>Intervening Event</w:t>
      </w:r>
      <w:r>
        <w:rPr>
          <w:rFonts w:ascii="Times New Roman PS Std;serif" w:hAnsi="Times New Roman PS Std;serif"/>
          <w:b w:val="false"/>
          <w:i w:val="false"/>
          <w:caps w:val="false"/>
          <w:smallCaps w:val="false"/>
          <w:sz w:val="20"/>
        </w:rPr>
        <w:t>” means any material event, fact, circumstance, effect, development or occurrence that (a) was not known to, or reasonably foreseeable by, the AIR Board as of February 16, 2026 or, if known, the material consequences of which were not known or reasonably foreseeable as of the date hereof and (b) does not involve or relate to the receipt, existence or terms of any Competing AIR Proposal. However, no event, fact, circumstance, effect, development or occurrence arising out of, or resulting from, the following should constitute or be taken into account in determining whether an Intervening Event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Competing AIR Proposal or any actual or potential acquisition of assets or businesses from AIR or any of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February 16, 2026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facts or causes underlying or contributing to such change or failure shall be considered in determining whether an Intervening Event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legal, regulatory or political conditions, or in the financial, credit or capital markets in general;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GAAP, or in any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markets or industries in which AIR and its subsidiaries operate (including legal and regulatory changes);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acts of civil unrest or war (whether or not declared), armed hostilities or terrorism or any escalation or worsening of any acts of civil unrest or war (whether or not declared), armed hostilities or terrorism under way as of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volcanic eruptions or other natural disasters or any epidemic or pandemic;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resulting or arising from the identity of Tenax or any of its affiliates;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announcement, pendency or performance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to include the AIR Recommendation in this proxy statement/prospectus, unless the AIR Board makes a Change in the AIR Recommendation as permitted under the merger agreement prior to the date of distribution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any such Change in the AIR Recommendation affect the validity and enforceability of the merger agreement or the other transaction documents, including the obligations of AIR and the AIR stockholders that are party to the transaction documents to consummate the merger or the other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Solicitation by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contract or agreement which could reasonably be expected to lead to any Competing Tenax Proposal; or (v) 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has agreed to, and to cause its subsidiaries and its and its subsidiaries’ representatives to, immediately cease and cause to be terminated all existing discussions or negotiations with any persons conducted prior to the execution of the merger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will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Tenax will thereafter keep AIR fully informed of the status and material details (including any change to the terms thereof) of any such Competing Tenax Proposal or inquiry and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on the one hand, and the person making such Competing Tenax Proposal or inquiry,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Tenax may, subject to compliance with the terms of the merger agreement, furnish information to, and enter into discussions with, a person who has made, after February 16, 2026, an unsolicited, written, bona fide Competing Tenax Proposal, so long as such Competing Tenax Proposal did not result from a breach of the merger agreement and, prior to furnishing such information and entering into such discussions, the Tenax Board obtains from such person a confidentiality agreement that contains terms no less favorable to Tenax than those contained in the existing confidentiality agreement between AIR and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 the term “</w:t>
      </w:r>
      <w:r>
        <w:rPr>
          <w:rFonts w:ascii="Times New Roman PS Std;serif" w:hAnsi="Times New Roman PS Std;serif"/>
          <w:b w:val="false"/>
          <w:i w:val="false"/>
          <w:caps w:val="false"/>
          <w:smallCaps w:val="false"/>
          <w:sz w:val="20"/>
          <w:u w:val="single"/>
        </w:rPr>
        <w:t>Competing Tenax Proposal</w:t>
      </w:r>
      <w:r>
        <w:rPr>
          <w:rFonts w:ascii="Times New Roman PS Std;serif" w:hAnsi="Times New Roman PS Std;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Access to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that it will, and will cause its subsidiaries to, (i) provide to Tenax and its representatives reasonable access during normal business hours upon reasonable prior notice to the officers, employees and other personnel, agents, properties, offices and other facilities of AIR and its subsidiaries and to their books and records and (ii) furnish promptly to Tenax such information concerning the business, properties, contracts, assets, liabilities, personnel and other aspects of AIR and its subsidiaries as Tenax or its representatives may reasonably request, subject to certain exceptions and limitations. Tenax has agreed to provide to AIR and its representatives reasonable access during normal business hours upon reasonable prior notice to Tenax’s personnel and records on a basis consistent with AIR’s access to such personnel and records prior to February 16,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one year following the effective time, AIR will, or will cause its subsidiaries to, provide each employee of AIR or its subsidiaries, as of immediately prior to the effective time, who continues to be employed by AIR or the surviving company after the closing date with (i) a base salary or wage rate, as applicable, and annual cash target bonus opportunity that is not less than the base salary or wage rate, as applicable, and annual cash target bonus opportunity provided to such employee immediately prior to the effective time and (ii) other employee benefits (including severance benefits) that are no less favorable in the aggregate than either, as determined by AIR in its sole discretion, (A) those provided by AIR and its subsidiaries immediately prior to the effective time or (B) those provided by Tenax to similarly situated employees immediately prior to the effective time. Notwithstanding anything to the contrary in the merger agreement, the terms and conditions of employment for any employee of AIR or its subsidiaries covered by any of AIR’s collective bargaining agreements will continue to be governed by such collective bargaining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the foregoing employee matters provisions are solely for the benefit of the parties to the merger agreement, no third party has any rights under such provisions and such provisions do not (i) amend any compensation or benefit plan, program, policy, agreement or arrangement; (ii) obligate AIR or the surviving company or any of their respective subsidiaries to maintain any benefit plan or arrangement or retain the employment of any particular employee; or (iii) prevent AIR or the surviving company or any of their respective subsidiaries from amending or terminating any plan or arrangement (in each case, other than as provided in such provisions).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Officers’ Indemnification and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to cause the surviving company, to the fullest extent permitted by the NRS, to honor all rights to indemnification and exculpation from liabilities, including advancement of expenses, existing in favor of the current or former directors or officers of AIR or its subsidiaries at or prior to the effective time for acts or omissions occurring at or prior to the effective time, as such indemnification provisions are provided for in the articles of incorporation and bylaws of AIR or indemnification agreements between AIR and such individuals. Such obligations will survive the Transactions in full force and effect in accordance with their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certain limitations, AIR will maintain, for the three-year period commencing immediately after the effective time, a directors’ and officers’ liability insurance policy with an insurance carrier with the same or better credit rating as AIR’s insurance carrier as of February 16, 2026 covering acts or omissions occurring at or prior to the effective time with respect to those individuals who are currently (and any individuals who prior to the effective time become) covered by AIR’s directors’ and officers’ liability insurance policies, on terms, conditions, retentions and limits of liability that are at least as favorable as AIR’s existing policies in effect on February 16, 2026. AIR will be permitted, prior to the effective time, to obtain and fully pay the premium for the extension of (i) the directors’ and officers’ liability coverage of AIR’s existing directors’ and officers’ insurance policies and (ii) AIR’s existing fiduciary liability insurance policies, in each case for a claims reporting period or discovery period of three years from the effective time, which will be from an insurance carrier with the same or better credit rating as AIR’s insurance carrier as of February 16, 2026, with terms, conditions, retentions and limits of liability that are at least as favorable as AIR’s existing policies in effect on February 16, 2026;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in no event shall Tenax or AIR be required to expend for any policies an aggregate amount in excess of 300% of the annual premiums currently paid by AIR for such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AIR or any of its successors or assigns (i) consolidates with or merges into any other person and ceases to be the continuing or surviving corporation or entity of such consolidation or merger or (ii) transfers all or substantially all of its properties and assets to any person, then, and in each such case, the surviving company will ensure that AIR will assume the obligations described above.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Reasonable Best Efforts; Further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each party has agreed to use its reasonable best efforts to take, or cause to be taken, all actions that are necessary, proper or advisable to consummate and make effective the Transactions, including using its reasonable best efforts to accomplish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satisfaction of the conditions precedent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obtaining of all necessary actions or nonactions and consents from, and the giving of any necessary notices to, governmental authorities and the making of all necessary registrations, declarations and filings (including registrations, declarations and filings with, or notices to, governmental authorities that may be required or advisable under the Antitrust Laws, if 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taking of all reasonable steps to provide any supplemental information requested by any governmental authority, including participating in meetings with officials of such entity in the course of its review of the merger agreement or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taking of all reasonable steps as may be necessary to avoid any action by any governmental authority or third party that would otherwise have the effect of materially delaying or preventing the consummation of the merger;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defending or contesting of any actions challenging the merger agreement or the consummation of the merger, including seeking to have any stay or temporary restraining order entered by any court or other governmental authority vacated or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AIR and the AIR Board will take all actions necessary to ensure that the Transactions will be consummated as promptly as practicable if any state takeover statute or similar statute or regulation is or becomes applicable to the merger agreement and to minimize the effect of such statute or regulation on the merger agreement and the Transactions. However, in no event will Tenax or its affiliates, including AIR, be required to agree to or accept (i) any prohibition of or limitation on its or their ownership, or any limitation that would affect its or their operation, of any portion of their respective businesses or assets, including after giving effect to the Transactions; (ii) any commitment, undertaking or order to divest, hold separate or otherwise dispose of any portion of its or their respective businesses or assets, including after giving effect to the Transactions; (iii) any limitation on the ability of the Tenax Members to acquire or hold or exercise full rights of ownership of any capital stock of AIR or its subsidiaries, including after giving effect to the Transactions; or (iv) any other limitation on its or their ability to, or the manner in which they, operate, conduct or control their respective businesses or operations, including after giving effect to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Tenax will determine and direct the strategy and process by which the parties will seek required approvals relating to Antitrust Laws. Tenax and AIR have agreed that neither party will make any filings, submissions or substantive written communications to any governmental authority to obtain consents to the merger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have agreed to incorporate all reasonable comments of the other party (or as appropriate such party’s outside counsel) with respect to such filings, submissions and communications prior to delivery of the same to any governmental authority.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Payoff Letters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deliver to Tenax at or prior to the closing executed payoff letters in customary form reasonably satisfactory to Tenax in respect of certain indebtedness of AIR, which shall indicate the total amount required to be paid to fully satisfy all principal, interest, prepayment premiums, penalties, breakage costs or similar obligations under such indebtedness and state that upon receipt of such amount, the applicable indebtedness and instruments evidencing such indebtedness shall be terminated. Further, AIR will make arrangements for the holders of such indebtedness to deliver to Tenax at or as soon as practicable after the closing all possessory collateral then in its possession and all lien release documents and filings with respect to all liens in or upon the assets or properties of AIR and its subsidiaries securing such indebtedness.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Litigation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that AIR, orally and in writing, provide Tenax with prompt notice of any litigation commenced or, to AIR’s knowledge, threatened against AIR and/or its directors or executive officers relating to the merger agreement, the merger or the other Transactions, and that AIR keep Tenax promptly and reasonably informed regarding any such litigation. AIR has agreed to give Tenax the opportunity to participate in the defense or settlement of any such litigation and shall give due consideration to Tenax’s views with respect thereto. Further, AIR may not agree to any settlement of any such litigation without Tenax’s prior written consent (such consent not to be unreasonably withheld, conditioned or delayed).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Charter Amendment and Reverse Stock Split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and promptly following the receipt of the approval of the authorized shares proposal at the special meeting of AIR stockholders, AIR will cause the related amendment to AIR’s articles of incorporation to be filed with the Nevada Secretary of State in such form as required by, and executed in accordance with, the relevant provisions of the NRS. Following the effectiveness of that amendment but prior to the closing, AIR will cause a certificate of change to be filed with the Nevada Secretary of State to effect the reverse stock split in accordance with NRS 78.207.</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Covenants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among others, covenants relating to the preparation and filing of this proxy statement/prospectus, notices of certain events, the listing of the shares of AIR common stock to be issued in the merger, public announcements relating to the merger agreement and the Transactions, certain tax matters, exemption from takeover laws, certain director and officer resignations and the execution of a redemption rights agreement for the benefit of AIR stockholders and a registration rights agreement with the Tenax Members. These agreements are discussed in “Other Related Agreements” beginning on page 85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52"/>
      <w:bookmarkEnd w:id="52"/>
      <w:r>
        <w:rPr>
          <w:rFonts w:ascii="Times New Roman PS Std;serif" w:hAnsi="Times New Roman PS Std;serif"/>
          <w:b/>
          <w:i w:val="false"/>
          <w:caps w:val="false"/>
          <w:smallCaps w:val="false"/>
          <w:sz w:val="20"/>
        </w:rPr>
        <w:t xml:space="preserve">Conditions to Completion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respective obligations of each of Tenax, AIR and Merger Sub to consummate the merger are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under the Securities Act of the registration statement of which this proxy statement/prospectus forms a part, the absence of any stop order suspending that effectiveness issued by the SEC and the absence of any proceeding for that purpose pending before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of approvals for the stock issuance proposal, the authorized shares proposal and the written consent proposal, in accordance with the NRS and AIR’s articles of incorporation and bylaws;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order or injunction enacted, issued, promulgated, enforced or entered, whether temporary, preliminary or permanent, which is then in effect and has the effect of enjoining, restraining, prohibiting or otherwise preventing the consummation of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authorization for listing on the NYSE American of the shares of AIR common stock issuable to the Tenax Members in connection with the merger, subject to official notice of issuance;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of the approval of the merger by the holders of a majority in voting power of the issued and outstanding membership units of Tenax, which approval was obtained by the execution of the Tenax Member Support Agreement. Accordingly, this condition has been satisfied, and no meeting of the Tenax Members will be held. See the section entitled “Other Related Agreements — Tenax Member Support Agreement” beginning on page 87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Tenax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made in the merger agreement by AIR and Merger Sub as of February 16, 2026 and as of the closing date, subject to certain materiality thresholds;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or compliance in all material respects by AIR and Merger Sub with the agreements and covenants required by the merger agreement to be performed or complied with by them at or prior to the effective time;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Tenax of a certificate, dated the closing date, signed by the Chief Executive Officer or Chief Financial Officer of AIR, certifying that the conditions in the preceding two bullet points are satisfied;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since February 16, 2026 through the closing date, of any event, occurrence, state of facts, development, circumstance, change or effect that, individually or in the aggregate, has had or would have been reasonably expected to have an AIR Material Adverse Effect;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pending action by any governmental authority and the absence of any order or injunction by any governmental authority of competent jurisdiction which imposes or seeks to impose any limitations or restrictions on Tenax and its subsidiaries;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AIR Stockholder Support Agreement at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AIR and Merger Sub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made in the merger agreement by Tenax as of February 16, 2026 and as of the closing date, subject to certain materiality thresholds;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or compliance in all material respects by Tenax with the agreements and covenants required by the merger agreement to be performed or complied with by it at or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since February 16, 2026 through the closing date, of any event, occurrence, state of facts, development, circumstance, change or effect that, individually or in the aggregate, has had or would have been reasonably expected to have a Tenax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AIR of a certificate, dated the closing date, signed by the President or Chief Financial Officer of Tenax, certifying that the conditions in the preceding two bullet points are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53"/>
      <w:bookmarkEnd w:id="53"/>
      <w:r>
        <w:rPr>
          <w:rFonts w:ascii="Times New Roman PS Std;serif" w:hAnsi="Times New Roman PS Std;serif"/>
          <w:b/>
          <w:i w:val="false"/>
          <w:caps w:val="false"/>
          <w:smallCaps w:val="false"/>
          <w:sz w:val="20"/>
        </w:rPr>
        <w:t xml:space="preserve">Termination of 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and the Transactions may be abandoned at any time before the effective time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Tenax and AIR, duly authorized by the Tenax Board and the AIR Board,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following a meeting of the AIR stockholders at which the AIR stockholders fail to approve the stock issuance proposal, the authorized shares proposal and the written consent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if any order or injunction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if the effective time has not occurred on or before 11:59 P.M., Eastern Time, on September 30, 2026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Key AIR Stockholder’s material breach of its obligations under the AIR Stockholder Support Agreement has been a material cause of, or resulted in, the failure of the effective time to occur on or before such time; or (iii) Tenax if any Tenax Member’s material breach of its obligations under the Tenax Member Support Agreement has been a material cause of, or resulted in, the failure of the effective time to occur on or before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will not have the right to terminate the merger agreement pursuant to this bullet point if Tenax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Tenax, if a Change in the AIR Recommendation shall have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will not have the right to terminate the merger agreement pursuant to this bullet point if AIR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to accept a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may be terminated by AIR if the Tenax Members party to the Tenax Member Support Agreement fail to duly execute and deliver, or cause to be delivered, to AIR the Tenax Member Support Agreement within 72 hours following the execution and delivery of the merger agreement. The requisite Tenax Members have delivered to AIR the Tenax Member Support Agreement within 72 hours following the execution and delivery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termination of the merger agreement, the merger agreement will become void and there will be no liability under the merger agreement on the part of any party thereto or their respective subsidiaries or representatives, except that certain specified provisions, including certain provisions described below under “— Expenses and Termination Fee”, will survive termination. However, no party will be relieved from liability for fraud committed prior to such termination or willful material breach of any of its representations, warranties, covenants or agreements set forth in the merger agreement prior to such termination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the confidentiality agreement between AIR and Tenax entered into prior to the merger agreement will survive any termination of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54"/>
      <w:bookmarkEnd w:id="54"/>
      <w:r>
        <w:rPr>
          <w:rFonts w:ascii="Times New Roman PS Std;serif" w:hAnsi="Times New Roman PS Std;serif"/>
          <w:b/>
          <w:i w:val="false"/>
          <w:caps w:val="false"/>
          <w:smallCaps w:val="false"/>
          <w:sz w:val="20"/>
        </w:rPr>
        <w:t xml:space="preserve">Expenses and Termination Fees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expenses incurred in connection with the merger agreement and the Transactions will be paid by the party incurring such expenses, except that expenses constituting the out-of-pocket cost of filing fees, printing and mailing of this proxy statement/prospectus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Fees and Expense Reimbursement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AIR to pay Tenax the AIR Termination Fee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to accept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terminates the merger agreement following a Change in the AIR Recommendation;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following requirements are satisfied: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is not in material breach of any of its representations, warranties or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such termination, a Competing AIR Proposal has been publicly announced or become publicly known;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enters into a definitive agreement in respect of such Competing AIR Proposal and such transaction is consummated within 12 months after such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 event will AIR be required to pay the AIR Termination Fee on more than one occasion. In the event the AIR Termination Fee is required to be paid and is paid to Tenax, such payment of the AIR Termination Fee will be the sole and exclusive monetary remedy under the merger agreement of Tenax and its subsidiaries and Tenax’s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its subsidiaries’ respective current, former or future equityholders, employees, directors, officers, affiliates or representatives, and none of AIR, Merger Sub or their respective current, former or future equityholders, employees, directors, officers, affiliates or representatives will have any further monetary liability or obligation relating to or arising out of the merger agreement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Tenax to pay AIR the Tenax Termination Fee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is not in material breach of any of its representations, warranties or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terminates the merger agreement if the effective time has not occurred by 11:59 P.M., Eastern Time, on the Outside Date, and at such time AIR could have terminated the merger agreement due to either of the two circumstances listed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Tenax be required to pay the Tenax Termination Fee on more than one occasion. In the event the Tenax Termination Fee is required to be paid and is paid to AIR, such payment of the Tenax Termination Fee will be the sole and exclusive monetary remedy under the merger agreement of AIR and its subsidiaries and AIR’s and its subsidiaries’ respective current, former or future equityholders, employees, directors, officers, affiliates or representatives, and none of Tenax, its subsidiaries or their respective current, former or future equityholders, employees, directors, officers, affiliates or representatives will have any further monetary liability or obligation relating to or arising out of the merger agreement or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55"/>
      <w:bookmarkEnd w:id="55"/>
      <w:r>
        <w:rPr>
          <w:rFonts w:ascii="Times New Roman PS Std;serif" w:hAnsi="Times New Roman PS Std;serif"/>
          <w:b/>
          <w:i w:val="false"/>
          <w:caps w:val="false"/>
          <w:smallCaps w:val="false"/>
          <w:sz w:val="20"/>
        </w:rPr>
        <w:t xml:space="preserve">Amendments and Waivers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by the parties thereto by action taken by or on behalf of their respective boards of directors at any time prior to the effective time. However, after the requisite AIR stockholder approvals have been obtained, there may not be any amendment that by applicable law or in accordance with the rules of any stock exchange requires further approval by the AIR stockholders without such further approval of the AIR stockholders. The merger agreement may only be amended by an instrument in writing signed by each of the parties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prior to the effective time, any party to the merger agreement may, to the extent legally allowed, (a) extend the time for the performance of any of the obligations or other acts of any other party, (b) waive any breach of or inaccuracy in the representations and warranties made by any other party and (c) waive compliance with any agreement of any other party or any condition to its own obligations.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56"/>
      <w:bookmarkEnd w:id="56"/>
      <w:r>
        <w:rPr>
          <w:rFonts w:ascii="Times New Roman PS Std;serif" w:hAnsi="Times New Roman PS Std;serif"/>
          <w:b/>
          <w:i w:val="false"/>
          <w:caps w:val="false"/>
          <w:smallCaps w:val="false"/>
          <w:sz w:val="20"/>
        </w:rPr>
        <w:t xml:space="preserve">No Third-Party Beneficiaries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not intended to and does not confer upon any person other than the parties to the merger agreement any rights or remedies, other than with respect to certain provisions related to the indemnification of AIR directors and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57"/>
      <w:bookmarkEnd w:id="57"/>
      <w:r>
        <w:rPr>
          <w:rFonts w:ascii="Times New Roman PS Std;serif" w:hAnsi="Times New Roman PS Std;serif"/>
          <w:b/>
          <w:i w:val="false"/>
          <w:caps w:val="false"/>
          <w:smallCaps w:val="false"/>
          <w:sz w:val="20"/>
        </w:rPr>
        <w:t xml:space="preserve">Specific Performance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termination of the merger agreement, each party will be entitled to an injunction or injunctions to prevent breaches of the merger agreement and to enforce specifically the performance of the terms of the merger agreement, in addition to any other remedy at law or 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58"/>
      <w:bookmarkEnd w:id="58"/>
      <w:r>
        <w:rPr>
          <w:rFonts w:ascii="Times New Roman PS Std;serif" w:hAnsi="Times New Roman PS Std;serif"/>
          <w:b/>
          <w:i w:val="false"/>
          <w:caps w:val="false"/>
          <w:smallCaps w:val="false"/>
          <w:sz w:val="20"/>
        </w:rPr>
        <w:t xml:space="preserve">Governing Law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Nevada law, without giving effect to conflicts of laws principles that would result in the application of the law of any other state. All actions arising out of or relating to the merger agreement or the Transactions will be heard and determined exclusively in the Eighth Judicial District Court of the State of Nevada in Clark County, Nevada (and, if jurisdiction is vested exclusively in the federal courts, the United States District Court for the District of Nevada).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9" w:name="T9959"/>
      <w:bookmarkEnd w:id="59"/>
      <w:r>
        <w:rPr>
          <w:rFonts w:ascii="Times New Roman PS Std;serif" w:hAnsi="Times New Roman PS Std;serif"/>
          <w:b/>
          <w:i w:val="false"/>
          <w:caps w:val="false"/>
          <w:smallCaps w:val="false"/>
          <w:sz w:val="20"/>
        </w:rPr>
        <w:t xml:space="preserve">Tax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and Tenax intend that, for U.S. federal income tax purposes, the merger qualifies as a tax-free exchange pursuant to Section 351(a) of the Code and will be treated in a manner consistent with Situation 3 of IRS Revenue Ruling 84-111.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0" w:name="T9960"/>
      <w:bookmarkEnd w:id="60"/>
      <w:r>
        <w:rPr>
          <w:rFonts w:ascii="Times New Roman PS Std;serif" w:hAnsi="Times New Roman PS Std;serif"/>
          <w:b/>
          <w:i w:val="false"/>
          <w:caps w:val="false"/>
          <w:smallCaps w:val="false"/>
          <w:sz w:val="20"/>
        </w:rPr>
        <w:t xml:space="preserve">OTHER RELATED AGREEMENTS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61"/>
      <w:bookmarkEnd w:id="61"/>
      <w:r>
        <w:rPr>
          <w:rFonts w:ascii="Times New Roman PS Std;serif" w:hAnsi="Times New Roman PS Std;serif"/>
          <w:b/>
          <w:i w:val="false"/>
          <w:caps w:val="false"/>
          <w:smallCaps w:val="false"/>
          <w:sz w:val="20"/>
        </w:rPr>
        <w:t xml:space="preserve">Redemption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redemption rights agreement to be entered into by AIR and the Rights Agent and is qualified in its entirety by reference to the full text of the form of such redemption rights agreement attached as Annex C to this proxy statement/prospectus and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AIR will enter into a redemption rights agreement with the Rights Agent that will govern the exercise of Redemption Rights by certain eligible AIR stockholders. Prior to the closing, AIR will declare and issue, as a dividend to AIR stockholders as of the trading day immediately preceding the closing date (the “</w:t>
      </w:r>
      <w:r>
        <w:rPr>
          <w:rFonts w:ascii="Times New Roman PS Std;serif" w:hAnsi="Times New Roman PS Std;serif"/>
          <w:b w:val="false"/>
          <w:i w:val="false"/>
          <w:caps w:val="false"/>
          <w:smallCaps w:val="false"/>
          <w:sz w:val="20"/>
          <w:u w:val="single"/>
        </w:rPr>
        <w:t>Rights Record Date</w:t>
      </w:r>
      <w:r>
        <w:rPr>
          <w:rFonts w:ascii="Times New Roman PS Std;serif" w:hAnsi="Times New Roman PS Std;serif"/>
          <w:b w:val="false"/>
          <w:i w:val="false"/>
          <w:caps w:val="false"/>
          <w:smallCaps w:val="false"/>
          <w:sz w:val="20"/>
        </w:rPr>
        <w:t>”),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and after the Rights Record Date, the Redemption Rights will be evidenced solely by certificates (“</w:t>
      </w:r>
      <w:r>
        <w:rPr>
          <w:rFonts w:ascii="Times New Roman PS Std;serif" w:hAnsi="Times New Roman PS Std;serif"/>
          <w:b w:val="false"/>
          <w:i w:val="false"/>
          <w:caps w:val="false"/>
          <w:smallCaps w:val="false"/>
          <w:sz w:val="20"/>
          <w:u w:val="single"/>
        </w:rPr>
        <w:t>Rights Certificates</w:t>
      </w:r>
      <w:r>
        <w:rPr>
          <w:rFonts w:ascii="Times New Roman PS Std;serif" w:hAnsi="Times New Roman PS Std;serif"/>
          <w:b w:val="false"/>
          <w:i w:val="false"/>
          <w:caps w:val="false"/>
          <w:smallCaps w:val="false"/>
          <w:sz w:val="20"/>
        </w:rPr>
        <w:t>”) evidencing one Redemption Right for each share of AIR common stock owned as of the close of business on the Rights Record Date. As soon as practicable after the Rights Record Date, the Rights Agent will cause to be delivered to each beneficial owner of AIR common stock one or more Rights Certificates evidencing one Redemption Right for each share of AIR common stock owned as of the close of business on the Rights Record Date. The Redemption Rights and the Rights Certificates may not be sold, assigned or transferred, in whole or in part, in any manner. Any Redemption Right held by an AIR stockholder will automatically cease to exist upon any transfer, sale or assignment of beneficial ownership of the share of AIR common stock to which such Redemption Right relates.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eligible to exercise the Redemption Rights, an AIR stockholder must have been a beneficial owner of shares of AIR common stock as of the close of business on the Rights Record Date and must have remained continuously a beneficial owner of such shares of AIR common stock to be redeemed from the Rights Record Date until the expiration of the redemption period. An AIR stockholder who sells and repurchases shares of AIR common stock during such period will not be permitted to exercise the Redemption Rights with respect to such shares. Following the conclusion of the 20-trading-day measurement period ending on (and including) the trading day immediately preceding the first anniversary of the closing, AIR will, not later than the second business day after the end of such measurement period, provide written notice to each eligible AIR stockholder of the volume weighted average price of AIR common stock during such measurement period. If such volume weighted average price, rounded to the nearest cent, is lower than the redemption price (which will be equal to 107.3% of the Debt Adjusted AIR Share Price), such notice will confirm that the Redemption Rights may be exercised prior to the expiration time. If such volume weighted average price is equal to or in excess of the redemption price, such notice will state that the Redemption Rights may not be exercised and have expired and that AIR has terminated the redemption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Redemption Rights will be exercisable during a period of 10 consecutive trading days commencing on the trading day immediately following the first anniversary of the closing. Any Redemption Rights not exercised prior to the expiration of such redemption period will automatically terminate and be of no further force or effect. To exercise the Redemption Rights, an eligible AIR stockholder must deliver to the Rights Agent and AIR a written notice of redemption, together with the relevant rights certificate and, to the extent such shares are certificated, the certificates representing the shares to be redeemed, duly endorsed for transfer to AIR, and any other certifications or supporting information requested by AIR to support that such stockholder is in fact an eligible AIR stockholder of such shares of AIR common stock to be redeemed from the Rights Record Date until the expiration of the redemption period. Not later than the business day immediately following the expiration of the redemption period, the Rights Agent will provide AIR with a detailed list of the names of the AIR stockholders who have submitted valid notices of redemption and the number of shares to be redeemed from such stockholders in accordance with such notices of redemption, together with copies thereof. Within two business days following receipt of such information, AIR will deposit with the Rights Agent by wire transfer of immediately available funds an amount sufficient to pay the redemption price for all shares duly submitted for redemption. The Rights Agent will thereupon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cause an amount in cash representing the aggregate redemption price for the shares redeemed by each eligible AIR stockholder to be delivered to or upon the order of such AIR stockholder not later than five business days after the expiration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the Rights Record Date but prior to the first anniversary of the closing, AIR pays a share dividend or otherwise makes a distribution on its common stock payable in AIR common stock, subdivides the outstanding AIR common stock into a larger number of shares, combines the outstanding AIR common stock into a smaller number of shares or issues by reclassification of AIR common stock any shares of AIR common stock, then the redemption price will be proportionally adjusted such that, upon exercise of all of the Redemption Rights, the aggregate redemption prices with respect to all eligible shares will remain unchanged. If, after the Rights Record Date but prior to the first anniversary of the closing, AIR consummates any merger or sale of AIR (whether by merger, sale of shares or all or substantially all of AIR’s assets or otherwise), then no adjustment will be made to the number of shares associated with the Redemption Rights or the redemption price as a result of such fundamental transaction. In such event, an AIR stockholder who exercises the Redemption Rights with respect to such AIR stockholder’s shares will not be entitled to receive any shares, securities, cash or other property in respect of such shares to which holders of AIR common stock would otherwise be entitled as a result of such fundamental transaction. An AIR stockholder who does not exercise the Redemption Rights with respect to such AIR stockholder’s shares will remain entitled to receive any shares, securities, cash or other property to which holders of AIR common stock are entitled as a result of such fundamental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redemption rights agreement will automatically terminate and be of no further force or effect on the date that is five business days after the expiration of the redemption period, provided that all disputes with respect to amounts payable to the AIR stockholders have been resolved and AIR has paid or caused to be paid or deposited with the Rights Agent all amounts payable to the AIR stockholders under the redemption rights agreement.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62" w:name="T9962"/>
      <w:bookmarkEnd w:id="62"/>
      <w:r>
        <w:rPr>
          <w:rFonts w:ascii="Times New Roman PS Std;serif" w:hAnsi="Times New Roman PS Std;serif"/>
          <w:b/>
          <w:i w:val="false"/>
          <w:caps w:val="false"/>
          <w:smallCaps w:val="false"/>
          <w:sz w:val="20"/>
        </w:rPr>
        <w:t xml:space="preserve">Registration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registration rights agreement to be entered into by AIR, the Tenax Members, the Tenax Warrantholders and NTC Group and is qualified in its entirety by reference to the full text of the form of such registration rights agreement attached as Annex D to this proxy statement/prospectus and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AIR, the Tenax Members, the Tenax Warrantholders and NTC Group, as Investors’ Representative, will enter into the registration rights agreement. The securities entitled to registration rights under the registration rights agreement consist of (a) shares of AIR common stock issued to the Tenax Members pursuant to the merger agreement, (b) shares of AIR common stock issuable upon exercise of the warrants held by the Tenax Warrantholders and (c) any other equity securities received with respect to or on account of the foregoing (collectively, the “</w:t>
      </w:r>
      <w:r>
        <w:rPr>
          <w:rFonts w:ascii="Times New Roman PS Std;serif" w:hAnsi="Times New Roman PS Std;serif"/>
          <w:b w:val="false"/>
          <w:i w:val="false"/>
          <w:caps w:val="false"/>
          <w:smallCaps w:val="false"/>
          <w:sz w:val="20"/>
          <w:u w:val="single"/>
        </w:rPr>
        <w:t>Registrable Securities</w:t>
      </w:r>
      <w:r>
        <w:rPr>
          <w:rFonts w:ascii="Times New Roman PS Std;serif" w:hAnsi="Times New Roman PS Std;serif"/>
          <w:b w:val="false"/>
          <w:i w:val="false"/>
          <w:caps w:val="false"/>
          <w:smallCaps w:val="false"/>
          <w:sz w:val="20"/>
        </w:rPr>
        <w:t>”), in each case subject to customary fall-away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registration rights agreement, certain key holders (including NEH, Thomas Foley, Taran Bakker and their controlled affiliates and permitted transferees) have customary demand rights to require AIR to effect public offerings of Registrable Securities, including underwritten offerings, subject to certain limitations, including a minimum aggregate value threshold of $40,000,000 per offering (unless a lesser amount is then held by the demanding stockholder) and a limit of one underwritten offering in any 90-day period. The registration rights agreement also provides the Tenax Members and Tenax Warrantholders with customary “piggyback” registration rights, subject to customary withdrawal and cutback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registration rights are subject to certain conditions and limitations, including AIR’s right to defer or suspend a registration statement during limited deferral periods for specified purposes, subject to an aggregate limit of one deferral period in any 12-month period not to exceed 90 days. AIR has agreed to be responsible for all offering expenses incurred in connection with the registration of the Registrable Securities, other than underwriting discounts and commissions, transfer taxes and certain underwriter fees not customarily paid by issuers. The parties to the registration rights agreement will provide each other customary indemnifications.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63" w:name="T9963"/>
      <w:bookmarkEnd w:id="63"/>
      <w:r>
        <w:rPr>
          <w:rFonts w:ascii="Times New Roman PS Std;serif" w:hAnsi="Times New Roman PS Std;serif"/>
          <w:b/>
          <w:i w:val="false"/>
          <w:caps w:val="false"/>
          <w:smallCaps w:val="false"/>
          <w:sz w:val="20"/>
        </w:rPr>
        <w:t xml:space="preserve">AIR Stockholder Support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AIR Stockholder Support Agreement and is qualified in its entirety by reference to the full text of the form of the AIR Stockholder Support Agreement, which is included as Exhibit A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original merger agreement, on February 16, 2026, certain directors and significant stockholders of AIR, referred to as the Key AIR Stockholders, entered into the AIR Stockholder Support Agreement with Tenax, pursuant to which the Key AIR Stockholders agreed, among other things, to vote their shares of AIR common stock in favor of the authorized shares proposal, the written consent proposal and the stock issuance proposal and against any competing proposal. The AIR Stockholder Support Agreement, which by its terms operates with reference to the merger agreement as amended from time to time, remains in full force and effect and was not amended in connection with the amendment and restatement of the merger agreement. As of [•], 2026, the record date for the special meeting, the Key AIR Stockholders beneficially owned, in the aggregate, shares of AIR common stock representing approximately [•]% of the voting power of the outstanding shares of AIR common stock entitled to vote at the special meeting. For information regarding the shares of AIR common stock beneficially owned by each Key AIR Stockholder, see the section entitled “Principal Holders of AIR Common Stock” beginning on page 171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AIR Stockholder Support Agreement, each Key AIR Stockholder has agreed, from the date of the agreement until the earlier of the effective time and the termination of the merger agreement in accordance with its terms, among other things, to (i) vote, or cause to be voted, all shares of AIR common stock beneficially owned by such Key AIR Stockholder in favor of the authorized shares proposal, the written consent proposal and the stock issuance proposal and against any Competing AIR Proposal or any other action that would reasonably be expected to impede, interfere with, delay or prevent the consummation of the merger; (ii) not transfer or encumber such shares, subject to limited exceptions; and (iii) not solicit, initiate or participate in discussions regarding, or approve or enter into, any Competing AIR Proposal. Each Key AIR Stockholder has also agreed not to commence or join in, and to take all reasonable actions necessary to opt out of, any action against AIR or its directors and officers relating to the merger agreement or the Transactions, and has granted Tenax an irrevocable proxy to vote such Key AIR Stockholder’s shares in a manner consistent with the agreement solely with respect to the matters described above. In addition, each Key AIR Stockholder has irrevocably waived any and all notice, information and consent requirements and any rights of first refusal, rights of first offer, redemption rights, co-sale rights, registration rights, preemptive rights and any dissenter’s or appraisal rights that may be applicable to, or triggered by, the Transactions. The Key AIR Stockholders have delivered the AIR Stockholder Support Agreement to Tenax, and each Key AIR Stockholder is entering into the agreement solely in its capacity as a beneficial owner of shares of AIR common stock and not in any capacity as a director or officer of AIR. The AIR Stockholder Support Agreement is governed by Nevada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4" w:name="T9964"/>
      <w:bookmarkEnd w:id="64"/>
      <w:r>
        <w:rPr>
          <w:rFonts w:ascii="Times New Roman PS Std;serif" w:hAnsi="Times New Roman PS Std;serif"/>
          <w:b/>
          <w:i w:val="false"/>
          <w:caps w:val="false"/>
          <w:smallCaps w:val="false"/>
          <w:sz w:val="20"/>
        </w:rPr>
        <w:t xml:space="preserve">Tenax Member Support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Tenax Member Support Agreement and is qualified in its entirety by reference to the full text of the form of the Tenax Member Support Agreement, which is included as Exhibit B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agreement, Tenax, AIR and NEH, as the sole consenting member party thereto, entered into an amended and restated Tenax Member Support Agreement, dated as of July 2, 2026, which amended and restated the Tenax Member Support Agreement entered into in connection with the execution of the original merger agreement. NEH is the record and beneficial owner of 6,570,000 Class A-1 units of Tenax, representing approximately 79.81% of the outstanding Tenax units on a fully diluted basis and approximately 85.38% of the voting power of the outstanding Tenax units.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Tenax Member Support Agreement, NEH, acting without a meeting in accordance with Section 404 of the DLLCA, irrevocably consented to, approved and adopted, in all respects, the merger, the merger agreement and the other transaction documents and the Transactions, including the distribution of the merger consideration in accordance with the Tenax closing capitalization schedule, and agreed that it will not revoke, rescind or otherwise modify its written consent. This written consent constituted the approval of the merger by holders of a majority in voting power of the issued and outstanding membership units of Tenax required under the merger agreement. Accordingly, the Tenax member approval condition to the completion of the merger has been satisfied, and no meeting of the Tenax Members will be held in connection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Member Support Agreement also provides that, until the earlier of the effective time and the termination of the merger agreement in accordance with its terms, NEH will not transfer or encumber its Tenax units (other than to certain permitted transferees that execute a joinder to the Tenax Member Support Agreement), will not, and will cause its controlled affiliates not to, solicit, participate in discussions or negotiations regarding, or approve, endorse or enter into any agreement with respect to, any Competing Tenax Proposal, and will not commence or join in, and will take all reasonable actions necessary to opt out of, any action against Tenax or its managers and officers relating to the merger agreement or the Transactions, including any claim challenging the validity of the merger agreement or alleging a breach of fiduciary duty in connection therewith. NEH has also waived any and all notice, information and consent requirements, as well as any right of first refusal, right of first offer, right of first negotiation, rights restricting share transfers, redemption rights, co-sale rights, registration rights, preemptive rights and other similar rights that may be applicable to, or triggered by, the Transactions, whether contained in AIR’s organizational documents, in any contractual obligation between AIR and NEH or under applicable law. The Tenax Member Support Agreement is governed by Nevada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5" w:name="T9965"/>
      <w:bookmarkEnd w:id="65"/>
      <w:r>
        <w:rPr>
          <w:rFonts w:ascii="Times New Roman PS Std;serif" w:hAnsi="Times New Roman PS Std;serif"/>
          <w:b/>
          <w:i w:val="false"/>
          <w:caps w:val="false"/>
          <w:smallCaps w:val="false"/>
          <w:sz w:val="20"/>
        </w:rPr>
        <w:t xml:space="preserve">Lock-Up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is a summary of the material provisions of the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 and is qualified in its entirety by reference to the full text of the form of Tenax Member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 which is included as Exhibit C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original merger agreement, on February 16, 2026, each of Thomas Foley, Chairman of Tenax, and Taran Bakker, a director of Tenax, entered into a lock-up agreement with AIR (together, the “</w:t>
      </w:r>
      <w:r>
        <w:rPr>
          <w:rFonts w:ascii="Times New Roman PS Std;serif" w:hAnsi="Times New Roman PS Std;serif"/>
          <w:b w:val="false"/>
          <w:i w:val="false"/>
          <w:caps w:val="false"/>
          <w:smallCaps w:val="false"/>
          <w:sz w:val="20"/>
          <w:u w:val="single"/>
        </w:rPr>
        <w:t>Lock-Up Agreements</w:t>
      </w:r>
      <w:r>
        <w:rPr>
          <w:rFonts w:ascii="Times New Roman PS Std;serif" w:hAnsi="Times New Roman PS Std;serif"/>
          <w:b w:val="false"/>
          <w:i w:val="false"/>
          <w:caps w:val="false"/>
          <w:smallCaps w:val="false"/>
          <w:sz w:val="20"/>
        </w:rPr>
        <w:t>”). Pursuant to the Lock-Up Agreements, and subject to certain exceptions, without the prior written consent of AIR, Mr. Foley and Mr. Bakker have each agreed not to offer, sell, pledge, transfer or otherwise dispose of, or enter into any hedging or similar transaction with respect to, any shares of AIR common stock or securities convertible into or exercisable or exchangeable for AIR common stock held directly or indirectly by them, during the period commencing upon the closing and ending on the date that is 180 days after the closing date. The permitted exceptions include specified transfers by gift, for estate-planning purposes, by will or intestacy and to affiliates and other related transferees, in each case subject to the transferee agreeing to be bound by the restrictions in the Lock-Up Agreements. The shares of AIR common stock subject to the Lock-Up Agreements will not constitute unrestricted publicly-held shares for purposes of the NYSE American initial listing requirements during the restricted period. See the section entitled “Risk Factors — Risks Relating to the Merger — </w:t>
      </w:r>
      <w:r>
        <w:rPr>
          <w:rFonts w:ascii="Times New Roman PS Std;serif" w:hAnsi="Times New Roman PS Std;serif"/>
          <w:b w:val="false"/>
          <w:i/>
          <w:caps w:val="false"/>
          <w:smallCaps w:val="false"/>
          <w:sz w:val="2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r>
        <w:rPr>
          <w:rFonts w:ascii="Times New Roman PS Std;serif" w:hAnsi="Times New Roman PS Std;serif"/>
          <w:b w:val="false"/>
          <w:i w:val="false"/>
          <w:caps w:val="false"/>
          <w:smallCaps w:val="false"/>
          <w:sz w:val="20"/>
        </w:rPr>
        <w:t>” beginning on page 24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6" w:name="T9966"/>
      <w:bookmarkEnd w:id="66"/>
      <w:r>
        <w:rPr>
          <w:rFonts w:ascii="Times New Roman PS Std;serif" w:hAnsi="Times New Roman PS Std;serif"/>
          <w:b/>
          <w:i w:val="false"/>
          <w:caps w:val="false"/>
          <w:smallCaps w:val="false"/>
          <w:sz w:val="20"/>
        </w:rPr>
        <w:t xml:space="preserve">MATERIAL U.S. FEDERAL INCOME TAX CONSEQUENCES OF THE TRANSACTIONS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the opinion of Ellenoff Grossman &amp; Schole LLP and is based on the material U.S. federal income tax consequences to holders of AIR common stock with respect to (i) the Transactions and (ii) the post-Transactions ownership and disposition of AIR common stock. This summary applies only to holders of AIR common stock that hold such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AIR common stock in light of such holder’s individual circumstances or status, nor does it address tax consequences applicable to holders of AIR common stock subject to special rules,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in securities or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banks or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life insurance companies, real estate investment trusts and regulated investment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actually or constructively own 10% or more of AIR’s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hold AIR common stock as part of a hedge, straddle, constructive sale, conversion transaction or other integrated investment;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have a functional currency other than the U.S.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received AIR common stock through the exercise of employee stock options, through a tax-qualified retirement plan or otherwise as compensation;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as a result of any item of gross income with respect to AIR common stock being taken into account in an “applicable financial statement” (as defined in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pass-through entities or investors in pass-through entities.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based on the Code, applicable U.S. Department of Treasury (the “Treasury”) regulations thereunder, and judicial and administrative interpretations thereof, all as in effect as of the date of this proxy statement/prospectus, and all of which may change, possibly with retroactive effect. Any such change could affect the conclusions discussed below. Consummation of the Transactions is not conditioned on the receipt of any tax opinion with respect to the tax treatment of holders of AIR common stock. Furthermore, no assurance can be given that the IRS will agree with this discussion or that, if the IRS were to take a contrary position, such position ultimately would not be sustained by the courts.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address U.S. federal taxes other than those pertaining to U.S. federal income taxation (such as estate or gift taxes, the alternative minimum tax or the Medicare tax on investment income), nor does it address any aspects of U.S. state or local or non-U.S.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ARE URGED TO CONSULT THEIR OWN TAX ADVISORS REGARDING THE TAX CONSEQUENCES OF THE TRANSACTIONS AND OTHER EVENTS DESCRIBED BELOW, INCLUDING THE EFFECTS OF U.S. FEDERAL, STATE AND LOCAL AND NON-U.S. TAX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a “U.S. Holder” means a beneficial owner of AIR common stock that is, for U.S.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that is treated as a corporation for U.S. federal income tax purposes) organized in or under the laws of the United States, any state therein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includible in gross income for U.S. federal income tax purposes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entity or arrangement characterized as a partnership for U.S. federal income tax purposes) holds AIR common stock, the tax treatment of such partnership and any person treated as a partner of such partnership will generally depend on the status of the partner and the activities of the partnership. Partnerships that hold AIR common stock and persons that are treated as partners of such partnerships should consult their own tax advisors about the particular U.S. federal income tax consequences to them of the Transactions and the post-Transactions ownership and disposition of AIR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Receipt of Redemption Rights.    </w:t>
      </w:r>
      <w:r>
        <w:rPr>
          <w:rFonts w:ascii="Times New Roman PS Std;serif" w:hAnsi="Times New Roman PS Std;serif"/>
          <w:b w:val="false"/>
          <w:i w:val="false"/>
          <w:caps w:val="false"/>
          <w:smallCaps w:val="false"/>
          <w:sz w:val="20"/>
        </w:rPr>
        <w:t>There is substantial uncertainty about the U.S. federal income tax treatment of the Redemption Rights. Specifically, there is no authority addressing whether the Redemption Rights should be treated as a distribution of property with respect to AIR common stock or an “open transaction”. Such determination is factual in nature. Based on the specific characteristics of the Redemption Rights, and unless otherwise required by a change in law after the date of the redemption rights agreement, we intend to take the position that a U.S. Holder’s receipt of the Redemption Rights constitutes an “open transaction” for U.S. federal income tax purposes. If our reporting position is correct, a 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as the payment of a dividend or of a fee) for U.S. federal income tax purposes. U.S. Holders should consult their tax advisors about the U.S. federal income tax treatment of 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Exercise of Redemption Rights.    </w:t>
      </w:r>
      <w:r>
        <w:rPr>
          <w:rFonts w:ascii="Times New Roman PS Std;serif" w:hAnsi="Times New Roman PS Std;serif"/>
          <w:b w:val="false"/>
          <w:i w:val="false"/>
          <w:caps w:val="false"/>
          <w:smallCaps w:val="false"/>
          <w:sz w:val="20"/>
        </w:rPr>
        <w:t>The redemption of a U.S. Holder’s AIR common stock that is effected by such U.S. Holder’s exercise of the Redemption Rights pursuant to the terms of the redemption rights agreement generally will be treated as a sale of such U.S. Holder’s AIR common stock. As a result, a U.S. Holder will recognize gain or loss equal to the difference between the amount of cash received by such U.S. Holder and such U.S. Holder’s tax basis in the AIR common stock redeemed. Gain or loss will be capital gain or loss and will be long-term capital gain or loss if the redeemed AIR common stock was held more than one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the redemption of a U.S. Holder’s AIR common stock that is effected by such U.S. Holder’s exercise of the Redemption Rights pursuant to the terms of the redemption rights agreement will be treated as a distribution by AIR to such U.S. Holder. The full amount of cash received by the U.S. Holder for redeemed AIR common stock (without any offset for such U.S. Holder’s tax basis in the stock) will be treated as a dividend to the extent of AIR’s current and accumulated earnings and profits allocable to the distribution. A U.S. Holder’s tax basis in redeemed AIR common stock will be added to the tax basis of such U.S. Holder’s remaining AIR common stock. For non-corporate U.S. Holders, such dividends may be “qualified dividend income” that is taxed at the lower applicable capital gains rate if certain conditions, including holding period requirements, are satisfied. Any period during which a U.S. Holder owns AIR common stock and Redemption Rights will be excluded from the U.S. Holder’s holding period for purposes of determining whether a dividend is “qualified dividend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cash received by a U.S. Holder exceeds such U.S. Holder’s allocable share of AIR’s current and accumulated earnings and profits, the distribution will first be treated as a non-taxable return of capital that reduces such U.S. Holder’s adjusted basis in their AIR common stock. Any amounts in excess of such U.S. Holder’s adjusted basis will be treated as capital gain. AIR will notify U.S. Holders publicly if a redemption is expected to be treated as a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should consult their own tax advisors about the tax treatment of exercising their Redemption Rights.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will retain their AIR common stock in the merger. Accordingly, U.S. Holders will not recognize gain or loss for U.S. federal income tax purposes as a result of the merger, and a U.S. Holder’s holding period in their AIR common stock will remain unchanged.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a “non-U.S. Holder” means a beneficial owner of AIR common stock that is, for U.S. federal income tax purposes, neither a U.S. Holder nor an entity or arrangement classified as a partnership for U.S. federal income tax purposes.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Receipt of Redemption Rights.    </w:t>
      </w:r>
      <w:r>
        <w:rPr>
          <w:rFonts w:ascii="Times New Roman PS Std;serif" w:hAnsi="Times New Roman PS Std;serif"/>
          <w:b w:val="false"/>
          <w:i w:val="false"/>
          <w:caps w:val="false"/>
          <w:smallCaps w:val="false"/>
          <w:sz w:val="20"/>
        </w:rPr>
        <w:t>As discussed above in the section entitled “— U.S. Holders — Redemption Rights — Receipt of Redemption Rights”, we intend to take the position that a non-U.S. Holder’s receipt of the Redemption Rights constitutes an “open transaction” for U.S. federal income tax purposes. If our reporting position is correct, a non-U.S.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as the payment of a dividend or of a fee) for U.S. federal income tax purposes. Non-U.S. Holders should consult their tax advisors about the U.S. federal income tax treatment of 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Exercise of Redemption Rights.    </w:t>
      </w:r>
      <w:r>
        <w:rPr>
          <w:rFonts w:ascii="Times New Roman PS Std;serif" w:hAnsi="Times New Roman PS Std;serif"/>
          <w:b w:val="false"/>
          <w:i w:val="false"/>
          <w:caps w:val="false"/>
          <w:smallCaps w:val="false"/>
          <w:sz w:val="20"/>
        </w:rPr>
        <w:t>As discussed above in the section entitled “— U.S. Holders — Redemption Rights — Exercise of Redemption Rights”, the redemption of a non-U.S. Holder’s AIR common stock that is effected by such non-U.S. Holder’s exercise of the Redemption Rights pursuant to the terms of the redemption rights agreement generally will be treated as a sale of such non-U.S. Holder’s AIR common stock. As a result, a non-U.S. Holder generally will not be subject to U.S. federal income taxation as a result of the redemption unless: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such gain is effectively connected with the conduct by such non-U.S. Holder of a trade or business in the United States (and, if an income tax treaty applies, the gain is attributable to a U.S. permanent establishment maintained by such non-U.S. Holder);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gain realized by a non-U.S. Holder who is an individual, such non-U.S. Holder is present in the United States for 183 days or more in the taxable year of the redemption and certain other conditions are met;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common stock constitutes “United States real property holding interests” by reason of AIR’s status as a “United States real property holding corporation” (“USRPHC”) for U.S. federal income tax purposes at any time within the shorter of (i) the five-year period preceding the redemption of such non-U.S. Holder’s AIR common stock and (ii) such non-U.S. Holder’s holding period for their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whose gain is described in clause (a) above generally will be subject to U.S. federal income tax on such gain in the same manner as a U.S. Holder as described above in the section entitled “— U.S. Holders — Redemption Rights — Exercise of Redemption Rights”. In addition, a non-U.S. Holder that is a foreign corporation may be subject to a branch profits tax at a 30% rate, or lower rate specified in an applicable income tax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whose gain is described in clause (b) above generally will be subject to U.S. federal income tax on such gain at a rate of 30%, or a lower rate specified in an applicable income tax treaty. Such gain may be offset by certain U.S.-source capital losses, even though such non-U.S. Holder is not considered a resident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clause (c) above, we believe that we are not currently a USRPHC. The determination of whether we are a USRPHC depends on the fair market value of our United States real property interests relative to the fair market value of our other trade or business assets and our non-U.S. real property interests. If we were or are a USRPHC, non-U.S. Holders generally will be subject to U.S. federal income tax in the same manner as 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is treated as a dividend, the treatment of a non-U.S. Holder’s receipt of cash will be determined in the manner described above in the section entitled “— U.S. Holders — Redemption Rights — Exercise of Redemption Rights”. To the extent amounts received by a non-U.S. Holder are treated as dividends, such dividends generally will be subject to U.S. federal withholding tax at a rate of 30%, or a lower rate specified in an applicable income tax treaty. Non-U.S. Holders should consult their tax advisors about their entitlement to, and the procedure for obtaining, benefits under an applicable income tax treaty.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will retain their AIR common stock in the merger. Accordingly, non-U.S. Holders will not recognize gain or loss for U.S. federal income tax purposes as a result of the merger, and a non-U.S. Holder’s holding period in their AIR common stock will remain unchanged.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the Redemption Rights and payments made to redeem AIR common stock pursuant to the exercise of the Redemption Rights may be subject to information reporting and backup withholding at a rate of 24% if a Holder (i) fails to provide a valid taxpayer identification number and does not comply with certain certification procedures or (ii) does not otherwise establish an exemption. Backup withholding is not an additional tax. Rather, any amounts withheld may be credited against a Holder’s U.S. federal income tax liability. If backup withholding results in an overpayment of taxes, a Holder may obtain a refund if they timely furnish required information to the IRS.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Account Tax Compliance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Sections 1471 through 1474 of the Code and the Treasury regulations and administrative guidance promulgated thereunder (commonly referred to as the “Foreign Account Tax Compliance Act” or “FATCA”) generally impose withholding of 30% on “withholdable payments” in respect of stock of U.S. corporations that is held by or through certain foreign financial institutions (including investment funds) unless various U.S. information reporting and due diligence requirements have been satisfied or an exemption applies. An intergovernmental agreement between the United States and an applicable foreign country may modify these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FATCA, withholdable payments generally include U.S.-source payments otherwise subject to nonresident withholding tax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U.S.-source dividends) and gross proceeds from the sale or other disposition of stock of a U.S. corporation. Proposed regulations would eliminate withholding on gross proceeds from the sale or dispositions of stock. Taxpayers may rely on the proposed regulations until final regulations are issued or such proposed regulations are rescinded. Accordingly, the entity through which shares of AIR common stock are held will affect the determination of whether such withholding is required. Similarly, “withholdable payments”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dividends) in respect of AIR common stock held by an investor that is a non-financial non-U.S. entity that does not qualify under certain exceptions generally will be subject to withholding at a rate of 30%, unless such entity either (i) certifies that it does not have any “substantial United States owners” or (ii) provides certain information regarding the entity’s “substantial United States owners” that will be provided to the Treasury. If FATCA withholding is imposed, a beneficial owner of AIR common stock that is not a foreign financial institution generally may obtain a refund of any amounts withheld by filing a U.S. federal income tax return. U.S. Holders and non-U.S. Holders should consult their tax advisors regarding the possible implications of FATCA to their investment in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7" w:name="T9967"/>
      <w:bookmarkEnd w:id="67"/>
      <w:r>
        <w:rPr>
          <w:rFonts w:ascii="Times New Roman PS Std;serif" w:hAnsi="Times New Roman PS Std;serif"/>
          <w:b/>
          <w:i w:val="false"/>
          <w:caps w:val="false"/>
          <w:smallCaps w:val="false"/>
          <w:sz w:val="20"/>
        </w:rPr>
        <w:t xml:space="preserve">UNAUDITED PRO FORMA CONDENSED COMBINED FINANCIAL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to illustrate the estimated effects of the merger based on the historical financial position and results of operations of Tenax and AIR. The information presented has been prepared in accordance with Article 11 of Regulation S-X as amended by the final rule, Release 33-10786 “</w:t>
      </w:r>
      <w:r>
        <w:rPr>
          <w:rFonts w:ascii="Times New Roman PS Std;serif" w:hAnsi="Times New Roman PS Std;serif"/>
          <w:b w:val="false"/>
          <w:i/>
          <w:caps w:val="false"/>
          <w:smallCaps w:val="false"/>
          <w:sz w:val="20"/>
        </w:rPr>
        <w:t>Amendments to Financial Disclosures about Acquired and Disposed Businesses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unaudited pro forma condensed combined financial statements are for informational purposes only. They do not purport to indicate the results that would have been obtained had the merger actually been completed on the assumed date or for the periods presented, or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made within the accompanying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Merger Sub will merge with and into Tenax, with Tenax continuing as the surviving entity and becoming a wholly owned subsidiary of AIR.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each as described in this proxy statement/prospectus) of AIR common stock to be issued to the Tenax Members and, as applicable, reserved for issuance to the Tenax Warrantholders upon the exercise of their warrants. It is expected that, at the closing of the merger and assuming no Tenax Warrantholders exercise their warrants to purchase Tenax units prior to the closing of the merger, AIR will issue 120,457,162 shares (which number will be adjusted to 24,091,432 shares after giving effect to the proposed amendment to the articles of incorporation of AIR contemplated by the authorized shares proposal and the subsequent reverse stock split, each as described in this proxy statement/prospectus) of AIR common stock to the Tenax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the AIR stockholders as of immediately prior to the effective time are expected to collectively own approximately 4% of the outstanding shares of the common stock of the combined company, on a fully diluted basis, and the Tenax Members and Tenax Warrantholders as of immediately prior to the effective time are expected to collectively own approximately 96% of the outstanding shares of the common stock of the combined company, on a fully diluted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Tenax’s operations will comprise the majority of the combined company’s operations, and Tenax Members are expected to hold a controlling interest in the combined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AIR is the legal acquirer in the merger, the transaction is expected to be accounted for as a reverse acquisition under Topic 805, with Tenax deemed the accounting acquirer and AIR treated as the accounting acquiree for financial reporting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been determined to be the accounting acquirer based on an evaluation of factors including relative voting rights in the combined entity, the composition of the post-merger board of directors and other considerations under Topic 805. As a result, Tenax’s historical financial statements will become the predecessor financial statements of the combined company, and AIR’s identifiable assets and liabilities will be recognized at their estimated fair values as of the closing date in accordance with the acquisition method of accounting.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Ownership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pro forma common stock shares outstanding:</w:t>
      </w:r>
    </w:p>
    <w:tbl>
      <w:tblPr>
        <w:tblW w:w="10205" w:type="dxa"/>
        <w:jc w:val="left"/>
        <w:tblInd w:w="0" w:type="dxa"/>
        <w:tblLayout w:type="fixed"/>
        <w:tblCellMar>
          <w:top w:w="0" w:type="dxa"/>
          <w:left w:w="0" w:type="dxa"/>
          <w:bottom w:w="0" w:type="dxa"/>
          <w:right w:w="0" w:type="dxa"/>
        </w:tblCellMar>
      </w:tblPr>
      <w:tblGrid>
        <w:gridCol w:w="7270"/>
        <w:gridCol w:w="146"/>
        <w:gridCol w:w="1531"/>
        <w:gridCol w:w="146"/>
        <w:gridCol w:w="721"/>
        <w:gridCol w:w="391"/>
      </w:tblGrid>
      <w:tr>
        <w:trPr/>
        <w:tc>
          <w:tcPr>
            <w:tcW w:w="72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Shareholder Description</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2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shares issued and outstanding as of March 31, 2026</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4,781,054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issued subsequent to March 31, 2026 for director fees and net settlement of vested RSUs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69,604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AIR shares expected to remain outstanding at closing</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4,850,658</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shares issued to former Tenax members at closing</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120,457,162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common shares expected to be issued and outstanding immediately after closing</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125,307,820</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ownership percentages above are based on the shares of AIR common stock expected to be issued and outstanding immediately following the merger. The table above does not give effect to the reverse stock split and assumes that no Tenax Warrantholders exercise their warrants to purchase Tenax units prior to the closing of the merger. The shares of AIR common stock that would underlie such unexercised warrants assumed by AIR would be reserved for future issuance by AIR. This table also excludes certain other outstanding equity awards.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MARCH 31, 2026</w:t>
      </w:r>
    </w:p>
    <w:tbl>
      <w:tblPr>
        <w:tblW w:w="13288" w:type="dxa"/>
        <w:jc w:val="left"/>
        <w:tblInd w:w="0" w:type="dxa"/>
        <w:tblLayout w:type="fixed"/>
        <w:tblCellMar>
          <w:top w:w="0" w:type="dxa"/>
          <w:left w:w="0" w:type="dxa"/>
          <w:bottom w:w="0" w:type="dxa"/>
          <w:right w:w="0" w:type="dxa"/>
        </w:tblCellMar>
      </w:tblPr>
      <w:tblGrid>
        <w:gridCol w:w="1841"/>
        <w:gridCol w:w="146"/>
        <w:gridCol w:w="286"/>
        <w:gridCol w:w="1396"/>
        <w:gridCol w:w="241"/>
        <w:gridCol w:w="146"/>
        <w:gridCol w:w="286"/>
        <w:gridCol w:w="1321"/>
        <w:gridCol w:w="241"/>
        <w:gridCol w:w="146"/>
        <w:gridCol w:w="327"/>
        <w:gridCol w:w="1032"/>
        <w:gridCol w:w="277"/>
        <w:gridCol w:w="146"/>
        <w:gridCol w:w="601"/>
        <w:gridCol w:w="146"/>
        <w:gridCol w:w="286"/>
        <w:gridCol w:w="1321"/>
        <w:gridCol w:w="241"/>
        <w:gridCol w:w="146"/>
        <w:gridCol w:w="601"/>
        <w:gridCol w:w="146"/>
        <w:gridCol w:w="286"/>
        <w:gridCol w:w="1396"/>
        <w:gridCol w:w="286"/>
      </w:tblGrid>
      <w:tr>
        <w:trPr/>
        <w:tc>
          <w:tcPr>
            <w:tcW w:w="18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Tenax </w:t>
              <w:br/>
              <w:t xml:space="preserve">Aerospace </w:t>
              <w:br/>
              <w:t xml:space="preserve">Acquisition, </w:t>
              <w:br/>
              <w:t xml:space="preserve">LLC </w:t>
              <w:br/>
              <w:t>(Historical)</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Air Industries </w:t>
              <w:br/>
              <w:t xml:space="preserve">Group </w:t>
              <w:br/>
              <w:t>(Historical)</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1,869,963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(29,748,068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5,937,895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Restricted 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24,652,743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32,137,743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35,282,000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34,267,000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Prepaid expenses and 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30,435,632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31,652,632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Prepaid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w:t>
            </w:r>
          </w:p>
        </w:tc>
        <w:tc>
          <w:tcPr>
            <w:tcW w:w="2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56,958,338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48,200,000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(1,163,068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103,995,270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174,262,955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9,215,000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182,370,955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Financing lease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6,467,295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6,813,295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60,716,251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61,682,251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33,202,473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1,044,293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34,246,766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274,648,974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11,016,000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315,293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285,980,267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331,607,312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59,216,000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(847,775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389,975,537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LIABILITES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6,140,043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7,178,000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5,224,424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18,528,633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Current maturities of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14,402,858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25,102,000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(24,877,000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20,627,858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Short-term liabilities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(4,871,068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1,661,365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1,661,365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4,777,803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5,250,803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Redemption right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26,982,069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38,611,000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(14,787,478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50,805,591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debt, net of deferred financing costs and unamortized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339,068,771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364,528,771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Line of credit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6,530,720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6,530,720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 – long-term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1,495,218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1,495,218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long-term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1,714,664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1,714,664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liability,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(16,462,647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(16,462,647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348,809,373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7,537,353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357,806,726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375,791,442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0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(7,250,125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408,612,317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Members’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(41,871,630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41,871,630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Less notes receivable for purchase of membership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(2,312,500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2,312,500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90,572,000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(90,572,000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11,857,485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14,295,293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(2,312,500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(71,432,000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71,432,000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(30,619,573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(41,871,630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(5,224,424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16,462,647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(44,184,130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19,145,000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6,402,350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(18,636,780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331,607,312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59,216,000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0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(847,775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389,975,537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STATEMENT OF OPERATIONS </w:t>
        <w:br/>
        <w:t>FOR THE THREE MONTHS ENDED MARCH 31, 2026</w:t>
      </w:r>
    </w:p>
    <w:tbl>
      <w:tblPr>
        <w:tblW w:w="12864" w:type="dxa"/>
        <w:jc w:val="left"/>
        <w:tblInd w:w="0" w:type="dxa"/>
        <w:tblLayout w:type="fixed"/>
        <w:tblCellMar>
          <w:top w:w="0" w:type="dxa"/>
          <w:left w:w="0" w:type="dxa"/>
          <w:bottom w:w="0" w:type="dxa"/>
          <w:right w:w="0" w:type="dxa"/>
        </w:tblCellMar>
      </w:tblPr>
      <w:tblGrid>
        <w:gridCol w:w="2036"/>
        <w:gridCol w:w="146"/>
        <w:gridCol w:w="301"/>
        <w:gridCol w:w="1396"/>
        <w:gridCol w:w="256"/>
        <w:gridCol w:w="146"/>
        <w:gridCol w:w="1396"/>
        <w:gridCol w:w="256"/>
        <w:gridCol w:w="146"/>
        <w:gridCol w:w="1458"/>
        <w:gridCol w:w="283"/>
        <w:gridCol w:w="146"/>
        <w:gridCol w:w="646"/>
        <w:gridCol w:w="146"/>
        <w:gridCol w:w="1201"/>
        <w:gridCol w:w="270"/>
        <w:gridCol w:w="146"/>
        <w:gridCol w:w="646"/>
        <w:gridCol w:w="146"/>
        <w:gridCol w:w="1396"/>
        <w:gridCol w:w="301"/>
      </w:tblGrid>
      <w:tr>
        <w:trPr/>
        <w:tc>
          <w:tcPr>
            <w:tcW w:w="2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Aerospace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Acquisition,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LLC</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Industries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Group</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14,404,713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26,010,713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24,806,423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24,806,423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1,549,706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1,549,706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493,581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493,581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41,254,423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11,606,000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52,860,423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8,384,043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8,289,825</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(169,167</w:t>
            </w:r>
          </w:p>
        </w:tc>
        <w:tc>
          <w:tcPr>
            <w:tcW w:w="2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16,504,701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9,004,000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(9,004,000</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4,034,462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714,175</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(59,786</w:t>
            </w:r>
          </w:p>
        </w:tc>
        <w:tc>
          <w:tcPr>
            <w:tcW w:w="2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4,688,851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1,756,675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1,756,675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1,303,948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1,303,948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Programs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562,419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562,419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412,095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412,095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535,759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16,989,401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9,004,000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(228,953</w:t>
            </w:r>
          </w:p>
        </w:tc>
        <w:tc>
          <w:tcPr>
            <w:tcW w:w="2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25,764,448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24,265,022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2,602,000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228,953</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27,095,975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6,274,490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3,120,475</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9,394,965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3,167,000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(3,167,000</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1,417,319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46,214</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1,459,351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(184,822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7,506,987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3,167,000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(4,182</w:t>
            </w:r>
          </w:p>
        </w:tc>
        <w:tc>
          <w:tcPr>
            <w:tcW w:w="2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10,669,494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16,758,035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(565,000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233,135</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16,426,481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(8,050,974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(8,611,474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(546,500</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expense – related </w:t>
              <w:br/>
              <w:t>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86,000</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39,808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39,808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189,440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227,440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(7,821,726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(455,000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(67,189</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(8,344,226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(LOSS) BEFORE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8,936,309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165,946</w:t>
            </w:r>
          </w:p>
        </w:tc>
        <w:tc>
          <w:tcPr>
            <w:tcW w:w="2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8,082,255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964,093</w:t>
            </w:r>
          </w:p>
        </w:tc>
        <w:tc>
          <w:tcPr>
            <w:tcW w:w="2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964,093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8,936,309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(798,147</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7,118,162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earnings per share (Note 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4,781,003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125,538,833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4,781,003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129,916,027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earnings/(loss) per share –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earnings/(loss) per share –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STATEMENT OF OPERATIONS </w:t>
        <w:br/>
        <w:t>FOR THE YEAR ENDED DECEMBER 31, 2025</w:t>
      </w:r>
    </w:p>
    <w:tbl>
      <w:tblPr>
        <w:tblW w:w="13270" w:type="dxa"/>
        <w:jc w:val="left"/>
        <w:tblInd w:w="0" w:type="dxa"/>
        <w:tblLayout w:type="fixed"/>
        <w:tblCellMar>
          <w:top w:w="0" w:type="dxa"/>
          <w:left w:w="0" w:type="dxa"/>
          <w:bottom w:w="0" w:type="dxa"/>
          <w:right w:w="0" w:type="dxa"/>
        </w:tblCellMar>
      </w:tblPr>
      <w:tblGrid>
        <w:gridCol w:w="2036"/>
        <w:gridCol w:w="146"/>
        <w:gridCol w:w="301"/>
        <w:gridCol w:w="1531"/>
        <w:gridCol w:w="256"/>
        <w:gridCol w:w="146"/>
        <w:gridCol w:w="1396"/>
        <w:gridCol w:w="256"/>
        <w:gridCol w:w="146"/>
        <w:gridCol w:w="1458"/>
        <w:gridCol w:w="283"/>
        <w:gridCol w:w="146"/>
        <w:gridCol w:w="646"/>
        <w:gridCol w:w="146"/>
        <w:gridCol w:w="1351"/>
        <w:gridCol w:w="256"/>
        <w:gridCol w:w="146"/>
        <w:gridCol w:w="646"/>
        <w:gridCol w:w="146"/>
        <w:gridCol w:w="1531"/>
        <w:gridCol w:w="301"/>
      </w:tblGrid>
      <w:tr>
        <w:trPr/>
        <w:tc>
          <w:tcPr>
            <w:tcW w:w="2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Aerospace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Acquisition,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LLC</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Industries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Group</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117,819,782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47,921,000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181,364,453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37,203,715</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(676,667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69,591,523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2,530,285</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15,188,981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Programs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62,018,066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39,734,000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(910,193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100,841,873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71,425,387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8,187,000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910,193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80,522,580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8,290,914</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5,253,208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35,011,375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232,842</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6,425,131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1,379,898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29,277,863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8,525,000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5,230,862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43,032,481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42,147,524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(4,320,669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37,490,099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(22,389,927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(24,632,927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(2,186,000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(579,236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(23,563,808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(1,098,000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(400,756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(25,063,808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(LOSS) BEFORE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(4,721,425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12,426,291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expense/benefit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4,565,570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4,434,570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(1,305,000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(9,286,995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7,991,721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earnings per share (Note 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4,216,918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124,974,697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4,781,003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129,438,594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earnings/(loss) per share – 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earnings/(loss) per share – 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gives effect to the merger as if it had occurred on March 31, 2026. The unaudited pro forma condensed combined statement of operations for the quarter ended March 31, 2026 and for the year ended December 31, 2025 gives pro forma effect to the merger as if it had occurred on January 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should be read together with the historical financial statements of each of Tenax and AIR, including the notes thereto, as well as other financial information included elsewhere in the registration statement of which this proxy statement/prospectus forms a part.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to illustrate the estimated effects of the merger and any related transactions. It sets forth and is derived from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Tenax’s unaudited condensed consolidated financial statements and notes of Tenax as of and for the three months ended March 31, 2026, included elsewhere in this filing;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Tenax’s audited consolidated financial statements as of and for the year ended December 31, 2025, included elsewhere in this filing;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unaudited consolidated financial statements as of and for the three months ended March 31, 2026, included in the Form 10-Q filed by AIR with the SEC on May 13th, 2026, included elsewhere in this filing;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audited consolidated financial statements as of and for the year ended December 31, 2025, included in the Form 10-K filed by AIR with the SEC on March 27th, 2026, which are included elsewhere in this filing.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reflecting the consummation of the merger are based on certain currently available information and certain assumptions and methodologies that management believes are reasonable under the circumstances. The unaudited pro forma condensed combined adjustments, which are described in the accompanying notes, may be revised as additional information becomes available and is evaluated. Management believes that these assumptions and methodologies provide a reasonable basis for presenting the significant effects of the merger based on information available at the time, and that the pro forma adjustments give appropriate effect to those assumptions and are properly applied in the unaudited pro forma condensed combined financial information. As Tenax is the accounting acquirer in the merger, the unaudited pro forma condensed combined financial information is presented using Tenax as the predecessor, with AIR reflected as the accounting acquiree.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Tenax’s preliminary review of Tenax’s and AIR’s summary of significant accounting policies and preliminary discussions between management teams, the nature and amount of any adjustments to AIR’s historical financial statements to conform its accounting policies and classifications to those of Tenax are not expected to be material, except the presentation reclassifications further discussed in Note 3 below. Upon the closing, management will perform a comprehensive review of the two entities’ accounting policies. As a result of the review, management may identify differences between the accounting policies of the two entities which, when confirmed, could have a material impact on the combined financial statements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merger. The unaudited pro forma condensed combined financial information is not necessarily indicative of what the actual results of operations and financial position would have been had the merger taken place on the dates indicated, nor are they indicative of the future results of operations or financial position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consolidated financial statements of Tenax and AIR were prepared in accordance with GAAP and shown in U.S. dollars.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Calculation of Estimated Purchase Consideration and 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be treated as a business combination for accounting purposes, with Tenax as the deemed accounting acquirer and AIR as the deemed acquiree. Therefore, the historical basis of Tenax’s assets and liabilities will not be affected by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was prepared using the acquisition method of accounting in accordance with Topic 805, which requires, among other things, that assets acquired and liabilities assumed in a business combination be recognized at their fair values as of the acquisition date. Any excess of the consideration transferred over the estimated fair value of the identifiable net assets acquired will be recognized as goodwill, while any excess of the estimated fair value of the identifiable net assets acquired over the consideration transferred, after reassessing the underlying measurements, will be recognized as a bargain purchase gain.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method of accounting uses the fair value concepts defined in ASC Topic 820, “</w:t>
      </w:r>
      <w:r>
        <w:rPr>
          <w:rFonts w:ascii="Times New Roman PS Std;serif" w:hAnsi="Times New Roman PS Std;serif"/>
          <w:b w:val="false"/>
          <w:i/>
          <w:caps w:val="false"/>
          <w:smallCaps w:val="false"/>
          <w:sz w:val="20"/>
        </w:rPr>
        <w:t>Fair Value Measurement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820</w:t>
      </w:r>
      <w:r>
        <w:rPr>
          <w:rFonts w:ascii="Times New Roman PS Std;serif" w:hAnsi="Times New Roman PS Std;serif"/>
          <w:b w:val="false"/>
          <w:i w:val="false"/>
          <w:caps w:val="false"/>
          <w:smallCaps w:val="false"/>
          <w:sz w:val="20"/>
        </w:rPr>
        <w:t>”). Fair value is defined in Topic 820 as the price that would be received to sell an asset or paid to transfer a liability in an orderly transaction between market participants at the measurement date. Market participants are assumed to be buyers or sellers in the most advantageous market for the asset or liability. Fair value measurement for an asset assumes the highest and best use by these market participants.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can be highly subjective, and it is possible the application of reasonable judgment could develop different assumptions resulting in a range of alternative estimates using the same facts and circumstances. Fair value estimates were determined based on preliminary discussions between Tenax and AIR management, due diligence efforts and information available in public filings. The preliminary allocation of the aggregate merger consideration used in the unaudited pro forma condensed combined financial information is based on preliminary estimates. The estimates and assumptions are subject to change as of the effective time of the merger. The final determination of the allocation of the aggregate merger consideration will be based on the actual tangible and intangible assets and the liabilities of AIR at the effective time. Refer to Note 4 for additional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Purchase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Topic 805, the accounting acquiree AIR’s stock price is used to measure the consideration transferred in this reverse acquisition, as AIR’s stock price is more reliably measurable than the value of the equity interest of the accounting acquirer Tenax, which is a privately held entity. For the purposes of these pro forma financial statements, the estimated purchase consideration is composed of the following:</w:t>
      </w:r>
    </w:p>
    <w:tbl>
      <w:tblPr>
        <w:tblW w:w="10205" w:type="dxa"/>
        <w:jc w:val="left"/>
        <w:tblInd w:w="0" w:type="dxa"/>
        <w:tblLayout w:type="fixed"/>
        <w:tblCellMar>
          <w:top w:w="0" w:type="dxa"/>
          <w:left w:w="0" w:type="dxa"/>
          <w:bottom w:w="0" w:type="dxa"/>
          <w:right w:w="0" w:type="dxa"/>
        </w:tblCellMar>
      </w:tblPr>
      <w:tblGrid>
        <w:gridCol w:w="8317"/>
        <w:gridCol w:w="146"/>
        <w:gridCol w:w="301"/>
        <w:gridCol w:w="1441"/>
      </w:tblGrid>
      <w:tr>
        <w:trPr/>
        <w:tc>
          <w:tcPr>
            <w:tcW w:w="83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shares issued and outstanding as of March 31, 2026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4,781,054</w:t>
            </w:r>
          </w:p>
        </w:tc>
      </w:tr>
      <w:tr>
        <w:trPr/>
        <w:tc>
          <w:tcPr>
            <w:tcW w:w="83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issued subsequent to March 31, 2026 for director fees and net settlement of vested RSUs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69,604</w:t>
            </w:r>
          </w:p>
        </w:tc>
      </w:tr>
      <w:tr>
        <w:trPr/>
        <w:tc>
          <w:tcPr>
            <w:tcW w:w="83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AIR shares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4,850,658</w:t>
            </w:r>
          </w:p>
        </w:tc>
      </w:tr>
      <w:tr>
        <w:trPr/>
        <w:tc>
          <w:tcPr>
            <w:tcW w:w="83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 price(1)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r>
      <w:tr>
        <w:trPr/>
        <w:tc>
          <w:tcPr>
            <w:tcW w:w="83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purchase price consideration for AIR stock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12,660,217</w:t>
            </w:r>
          </w:p>
        </w:tc>
      </w:tr>
      <w:tr>
        <w:trPr/>
        <w:tc>
          <w:tcPr>
            <w:tcW w:w="83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replacement AIR stock-based compensation awards that are attributable to pre-combination service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1,635,076</w:t>
            </w:r>
          </w:p>
        </w:tc>
      </w:tr>
      <w:tr>
        <w:trPr/>
        <w:tc>
          <w:tcPr>
            <w:tcW w:w="83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redemption rights issued to eligible legacy AIR shareholders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r>
      <w:tr>
        <w:trPr/>
        <w:tc>
          <w:tcPr>
            <w:tcW w:w="83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purchase consideration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18,045,293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AIR stock price on July 20, 2026, at market close is used as a proxy for the market price of AIR shares on the Closing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estimated purchase consideration applied in the unaudited pro forma condensed combined financial information is preliminary and subject to modification based on the final purchase price, which includes any changes to the value of AIR’s stock and the number of AIR’s vested stock-based compensation awards when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is consummated. This will likely result in a difference from the estimated purchase consideration calculated above, and that difference may be material. For example, with other assumptions held constant, an increase or decrease of 20% in the price per share of AIR common stock will produce the following estimated purchase consideration and the corresponding goodwill or gain on bargain purchase:</w:t>
      </w:r>
    </w:p>
    <w:tbl>
      <w:tblPr>
        <w:tblW w:w="7266" w:type="dxa"/>
        <w:jc w:val="left"/>
        <w:tblInd w:w="0" w:type="dxa"/>
        <w:tblLayout w:type="fixed"/>
        <w:tblCellMar>
          <w:top w:w="0" w:type="dxa"/>
          <w:left w:w="0" w:type="dxa"/>
          <w:bottom w:w="0" w:type="dxa"/>
          <w:right w:w="0" w:type="dxa"/>
        </w:tblCellMar>
      </w:tblPr>
      <w:tblGrid>
        <w:gridCol w:w="1486"/>
        <w:gridCol w:w="146"/>
        <w:gridCol w:w="546"/>
        <w:gridCol w:w="1119"/>
        <w:gridCol w:w="146"/>
        <w:gridCol w:w="286"/>
        <w:gridCol w:w="1306"/>
        <w:gridCol w:w="146"/>
        <w:gridCol w:w="351"/>
        <w:gridCol w:w="1383"/>
        <w:gridCol w:w="351"/>
      </w:tblGrid>
      <w:tr>
        <w:trPr/>
        <w:tc>
          <w:tcPr>
            <w:tcW w:w="1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 stock price</w:t>
            </w:r>
          </w:p>
        </w:tc>
        <w:tc>
          <w:tcPr>
            <w:tcW w:w="146" w:type="dxa"/>
            <w:tcBorders/>
            <w:vAlign w:val="bottom"/>
          </w:tcPr>
          <w:p>
            <w:pPr>
              <w:pStyle w:val="TableContents"/>
              <w:bidi w:val="0"/>
              <w:spacing w:before="0" w:after="283"/>
              <w:jc w:val="left"/>
              <w:rPr/>
            </w:pPr>
            <w:r>
              <w:rPr/>
              <w:t> </w:t>
            </w:r>
          </w:p>
        </w:tc>
        <w:tc>
          <w:tcPr>
            <w:tcW w:w="15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purchase</w:t>
              <w:br/>
              <w:t>consideration</w:t>
            </w:r>
          </w:p>
        </w:tc>
        <w:tc>
          <w:tcPr>
            <w:tcW w:w="146" w:type="dxa"/>
            <w:tcBorders/>
            <w:vAlign w:val="bottom"/>
          </w:tcPr>
          <w:p>
            <w:pPr>
              <w:pStyle w:val="TableContents"/>
              <w:bidi w:val="0"/>
              <w:spacing w:before="0" w:after="283"/>
              <w:jc w:val="left"/>
              <w:rPr/>
            </w:pPr>
            <w:r>
              <w:rPr/>
              <w:t> </w:t>
            </w:r>
          </w:p>
        </w:tc>
        <w:tc>
          <w:tcPr>
            <w:tcW w:w="208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Goodwill/(Gain on </w:t>
              <w:br/>
              <w:t>bargain purchase)</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18,045,293</w:t>
            </w:r>
          </w:p>
        </w:tc>
        <w:tc>
          <w:tcPr>
            <w:tcW w:w="1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1,044,293</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increase</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19,591,352</w:t>
            </w:r>
          </w:p>
        </w:tc>
        <w:tc>
          <w:tcPr>
            <w:tcW w:w="1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2,590,352</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decrease</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16,950,235 </w:t>
            </w:r>
          </w:p>
        </w:tc>
        <w:tc>
          <w:tcPr>
            <w:tcW w:w="1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(50,765</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preliminary purchase price allocation of the assets acquired and the liabilities assumed as if the merger occurred on March 31, 2026:</w:t>
      </w:r>
    </w:p>
    <w:tbl>
      <w:tblPr>
        <w:tblW w:w="9207" w:type="dxa"/>
        <w:jc w:val="left"/>
        <w:tblInd w:w="0" w:type="dxa"/>
        <w:tblLayout w:type="fixed"/>
        <w:tblCellMar>
          <w:top w:w="0" w:type="dxa"/>
          <w:left w:w="0" w:type="dxa"/>
          <w:bottom w:w="0" w:type="dxa"/>
          <w:right w:w="0" w:type="dxa"/>
        </w:tblCellMar>
      </w:tblPr>
      <w:tblGrid>
        <w:gridCol w:w="7306"/>
        <w:gridCol w:w="146"/>
        <w:gridCol w:w="303"/>
        <w:gridCol w:w="1452"/>
      </w:tblGrid>
      <w:tr>
        <w:trPr/>
        <w:tc>
          <w:tcPr>
            <w:tcW w:w="73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Fair </w:t>
              <w:br/>
              <w:t>Value</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52" w:type="dxa"/>
            <w:tcBorders/>
            <w:shd w:fill="CCEEFF" w:val="clear"/>
            <w:vAlign w:val="bottom"/>
          </w:tcPr>
          <w:p>
            <w:pPr>
              <w:pStyle w:val="TableContents"/>
              <w:bidi w:val="0"/>
              <w:spacing w:before="0" w:after="283"/>
              <w:jc w:val="left"/>
              <w:rPr/>
            </w:pPr>
            <w:r>
              <w:rPr/>
              <w:t> </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34,267,000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8,108,000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right-of-use assets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57,072,000</w:t>
            </w:r>
          </w:p>
        </w:tc>
      </w:tr>
      <w:tr>
        <w:trPr/>
        <w:tc>
          <w:tcPr>
            <w:tcW w:w="7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52" w:type="dxa"/>
            <w:tcBorders/>
            <w:shd w:fill="CCEEFF" w:val="clear"/>
            <w:vAlign w:val="bottom"/>
          </w:tcPr>
          <w:p>
            <w:pPr>
              <w:pStyle w:val="TableContents"/>
              <w:bidi w:val="0"/>
              <w:spacing w:before="0" w:after="283"/>
              <w:jc w:val="left"/>
              <w:rPr/>
            </w:pPr>
            <w:r>
              <w:rPr/>
              <w:t> </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52" w:type="dxa"/>
            <w:tcBorders/>
            <w:vAlign w:val="bottom"/>
          </w:tcPr>
          <w:p>
            <w:pPr>
              <w:pStyle w:val="TableContents"/>
              <w:bidi w:val="0"/>
              <w:spacing w:before="0" w:after="283"/>
              <w:jc w:val="left"/>
              <w:rPr/>
            </w:pPr>
            <w:r>
              <w:rPr/>
              <w:t> </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7,178,000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25,102,000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liabilities due to related parties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 of deferred financing costs and unamortized discount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40,071,000</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acquired</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17,001,000</w:t>
            </w:r>
          </w:p>
        </w:tc>
      </w:tr>
      <w:tr>
        <w:trPr/>
        <w:tc>
          <w:tcPr>
            <w:tcW w:w="7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1,044,293</w:t>
            </w:r>
          </w:p>
        </w:tc>
      </w:tr>
      <w:tr>
        <w:trPr/>
        <w:tc>
          <w:tcPr>
            <w:tcW w:w="7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consideration</w:t>
            </w:r>
          </w:p>
        </w:tc>
        <w:tc>
          <w:tcPr>
            <w:tcW w:w="146"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18,045,293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allocation of the preliminary purchase price for AIR is based upon management’s estimates of and assumptions related to the fair value of the consideration transferred, assets acquired and liabilities assumed as of the filing of the registration statement of which this proxy statement/prospectus forms a part, using currently available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Reclassifications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 unaudited pro forma condensed combined financial information, management performed a preliminary analysis of Tenax’s and AIR’s financial information to identify differences in financial statement presentation and classification. Certain reclassifications have been made to the historical financial statement presentation of each of Tenax and AIR to conform to the presentation used in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balance sheet of AIR and the unaudited historical consolidated balance sheet of Tenax as of March 31, 2026, on a consistent basis:</w:t>
      </w:r>
    </w:p>
    <w:tbl>
      <w:tblPr>
        <w:tblW w:w="10000" w:type="dxa"/>
        <w:jc w:val="left"/>
        <w:tblInd w:w="0" w:type="dxa"/>
        <w:tblLayout w:type="fixed"/>
        <w:tblCellMar>
          <w:top w:w="0" w:type="dxa"/>
          <w:left w:w="0" w:type="dxa"/>
          <w:bottom w:w="0" w:type="dxa"/>
          <w:right w:w="0" w:type="dxa"/>
        </w:tblCellMar>
      </w:tblPr>
      <w:tblGrid>
        <w:gridCol w:w="6181"/>
        <w:gridCol w:w="146"/>
        <w:gridCol w:w="348"/>
        <w:gridCol w:w="1098"/>
        <w:gridCol w:w="295"/>
        <w:gridCol w:w="146"/>
        <w:gridCol w:w="441"/>
        <w:gridCol w:w="1345"/>
      </w:tblGrid>
      <w:tr>
        <w:trPr/>
        <w:tc>
          <w:tcPr>
            <w:tcW w:w="618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Balance Sheet</w:t>
            </w:r>
          </w:p>
        </w:tc>
        <w:tc>
          <w:tcPr>
            <w:tcW w:w="146" w:type="dxa"/>
            <w:vMerge w:val="restart"/>
            <w:tcBorders/>
            <w:vAlign w:val="bottom"/>
          </w:tcPr>
          <w:p>
            <w:pPr>
              <w:pStyle w:val="TableContents"/>
              <w:bidi w:val="0"/>
              <w:spacing w:before="0" w:after="283"/>
              <w:jc w:val="left"/>
              <w:rPr/>
            </w:pPr>
            <w:r>
              <w:rPr/>
              <w:t> </w:t>
            </w:r>
          </w:p>
        </w:tc>
        <w:tc>
          <w:tcPr>
            <w:tcW w:w="3673"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March 31, 2026</w:t>
            </w:r>
          </w:p>
        </w:tc>
      </w:tr>
      <w:tr>
        <w:trPr/>
        <w:tc>
          <w:tcPr>
            <w:tcW w:w="61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46" w:type="dxa"/>
            <w:tcBorders/>
            <w:vAlign w:val="bottom"/>
          </w:tcPr>
          <w:p>
            <w:pPr>
              <w:pStyle w:val="TableContents"/>
              <w:bidi w:val="0"/>
              <w:spacing w:before="0" w:after="283"/>
              <w:jc w:val="left"/>
              <w:rPr/>
            </w:pPr>
            <w:r>
              <w:rPr/>
              <w:t> </w:t>
            </w:r>
          </w:p>
        </w:tc>
        <w:tc>
          <w:tcPr>
            <w:tcW w:w="17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5" w:type="dxa"/>
            <w:tcBorders/>
            <w:shd w:fill="CCEEFF" w:val="clear"/>
            <w:vAlign w:val="bottom"/>
          </w:tcPr>
          <w:p>
            <w:pPr>
              <w:pStyle w:val="TableContents"/>
              <w:bidi w:val="0"/>
              <w:spacing w:before="0" w:after="283"/>
              <w:jc w:val="left"/>
              <w:rPr/>
            </w:pPr>
            <w:r>
              <w:rPr/>
              <w:t> </w:t>
            </w:r>
          </w:p>
        </w:tc>
      </w:tr>
      <w:tr>
        <w:trPr/>
        <w:tc>
          <w:tcPr>
            <w:tcW w:w="6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8"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statements of earnings of AIR and Tenax for the quarter ended March 31, 2026, on a consistent basis:</w:t>
      </w:r>
    </w:p>
    <w:tbl>
      <w:tblPr>
        <w:tblW w:w="10205" w:type="dxa"/>
        <w:jc w:val="left"/>
        <w:tblInd w:w="0" w:type="dxa"/>
        <w:tblLayout w:type="fixed"/>
        <w:tblCellMar>
          <w:top w:w="0" w:type="dxa"/>
          <w:left w:w="0" w:type="dxa"/>
          <w:bottom w:w="0" w:type="dxa"/>
          <w:right w:w="0" w:type="dxa"/>
        </w:tblCellMar>
      </w:tblPr>
      <w:tblGrid>
        <w:gridCol w:w="6165"/>
        <w:gridCol w:w="146"/>
        <w:gridCol w:w="1491"/>
        <w:gridCol w:w="267"/>
        <w:gridCol w:w="160"/>
        <w:gridCol w:w="1976"/>
      </w:tblGrid>
      <w:tr>
        <w:trPr/>
        <w:tc>
          <w:tcPr>
            <w:tcW w:w="616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Statement of Operations</w:t>
            </w:r>
          </w:p>
        </w:tc>
        <w:tc>
          <w:tcPr>
            <w:tcW w:w="146" w:type="dxa"/>
            <w:vMerge w:val="restart"/>
            <w:tcBorders/>
            <w:vAlign w:val="bottom"/>
          </w:tcPr>
          <w:p>
            <w:pPr>
              <w:pStyle w:val="TableContents"/>
              <w:bidi w:val="0"/>
              <w:spacing w:before="0" w:after="283"/>
              <w:jc w:val="left"/>
              <w:rPr/>
            </w:pPr>
            <w:r>
              <w:rPr/>
              <w:t> </w:t>
            </w:r>
          </w:p>
        </w:tc>
        <w:tc>
          <w:tcPr>
            <w:tcW w:w="389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March 31, 2026</w:t>
            </w:r>
          </w:p>
        </w:tc>
      </w:tr>
      <w:tr>
        <w:trPr/>
        <w:tc>
          <w:tcPr>
            <w:tcW w:w="616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5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left"/>
              <w:rPr/>
            </w:pPr>
            <w:r>
              <w:rPr/>
              <w:t> </w:t>
            </w:r>
          </w:p>
        </w:tc>
      </w:tr>
      <w:tr>
        <w:trPr/>
        <w:tc>
          <w:tcPr>
            <w:tcW w:w="616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r>
      <w:tr>
        <w:trPr/>
        <w:tc>
          <w:tcPr>
            <w:tcW w:w="616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left"/>
              <w:rPr/>
            </w:pPr>
            <w:r>
              <w:rPr/>
              <w:t> </w:t>
            </w:r>
          </w:p>
        </w:tc>
      </w:tr>
      <w:tr>
        <w:trPr/>
        <w:tc>
          <w:tcPr>
            <w:tcW w:w="616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8,289,825</w:t>
            </w:r>
          </w:p>
        </w:tc>
      </w:tr>
      <w:tr>
        <w:trPr/>
        <w:tc>
          <w:tcPr>
            <w:tcW w:w="616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714,175</w:t>
            </w:r>
          </w:p>
        </w:tc>
      </w:tr>
      <w:tr>
        <w:trPr/>
        <w:tc>
          <w:tcPr>
            <w:tcW w:w="616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(9,004,000</w:t>
            </w:r>
          </w:p>
        </w:tc>
        <w:tc>
          <w:tcPr>
            <w:tcW w:w="2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bidi w:val="0"/>
              <w:spacing w:before="0" w:after="283"/>
              <w:jc w:val="left"/>
              <w:rPr/>
            </w:pPr>
            <w:r>
              <w:rPr/>
              <w:t> </w:t>
            </w:r>
          </w:p>
        </w:tc>
      </w:tr>
      <w:tr>
        <w:trPr/>
        <w:tc>
          <w:tcPr>
            <w:tcW w:w="616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3,120,475</w:t>
            </w:r>
          </w:p>
        </w:tc>
      </w:tr>
      <w:tr>
        <w:trPr/>
        <w:tc>
          <w:tcPr>
            <w:tcW w:w="616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46,214</w:t>
            </w:r>
          </w:p>
        </w:tc>
      </w:tr>
      <w:tr>
        <w:trPr/>
        <w:tc>
          <w:tcPr>
            <w:tcW w:w="616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r>
      <w:tr>
        <w:trPr/>
        <w:tc>
          <w:tcPr>
            <w:tcW w:w="616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(3,167,000</w:t>
            </w:r>
          </w:p>
        </w:tc>
        <w:tc>
          <w:tcPr>
            <w:tcW w:w="2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bidi w:val="0"/>
              <w:spacing w:before="0" w:after="283"/>
              <w:jc w:val="left"/>
              <w:rPr/>
            </w:pPr>
            <w:r>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left"/>
              <w:rPr/>
            </w:pPr>
            <w:r>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0" w:type="dxa"/>
            <w:tcBorders/>
            <w:vAlign w:val="bottom"/>
          </w:tcPr>
          <w:p>
            <w:pPr>
              <w:pStyle w:val="TableContents"/>
              <w:bidi w:val="0"/>
              <w:spacing w:before="0" w:after="283"/>
              <w:jc w:val="left"/>
              <w:rPr/>
            </w:pPr>
            <w:r>
              <w:rPr/>
              <w:t> </w:t>
            </w:r>
          </w:p>
        </w:tc>
        <w:tc>
          <w:tcPr>
            <w:tcW w:w="1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0"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statements of earnings of AIR and Tenax for the year ended December 31, 2025, on a consistent basis:</w:t>
      </w:r>
    </w:p>
    <w:tbl>
      <w:tblPr>
        <w:tblW w:w="10205" w:type="dxa"/>
        <w:jc w:val="left"/>
        <w:tblInd w:w="0" w:type="dxa"/>
        <w:tblLayout w:type="fixed"/>
        <w:tblCellMar>
          <w:top w:w="0" w:type="dxa"/>
          <w:left w:w="0" w:type="dxa"/>
          <w:bottom w:w="0" w:type="dxa"/>
          <w:right w:w="0" w:type="dxa"/>
        </w:tblCellMar>
      </w:tblPr>
      <w:tblGrid>
        <w:gridCol w:w="6386"/>
        <w:gridCol w:w="146"/>
        <w:gridCol w:w="1472"/>
        <w:gridCol w:w="269"/>
        <w:gridCol w:w="146"/>
        <w:gridCol w:w="1786"/>
      </w:tblGrid>
      <w:tr>
        <w:trPr/>
        <w:tc>
          <w:tcPr>
            <w:tcW w:w="63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Statement of Operations</w:t>
            </w:r>
          </w:p>
        </w:tc>
        <w:tc>
          <w:tcPr>
            <w:tcW w:w="146" w:type="dxa"/>
            <w:vMerge w:val="restart"/>
            <w:tcBorders/>
            <w:vAlign w:val="bottom"/>
          </w:tcPr>
          <w:p>
            <w:pPr>
              <w:pStyle w:val="TableContents"/>
              <w:bidi w:val="0"/>
              <w:spacing w:before="0" w:after="283"/>
              <w:jc w:val="left"/>
              <w:rPr/>
            </w:pPr>
            <w:r>
              <w:rPr/>
              <w:t> </w:t>
            </w:r>
          </w:p>
        </w:tc>
        <w:tc>
          <w:tcPr>
            <w:tcW w:w="367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 2025</w:t>
            </w:r>
          </w:p>
        </w:tc>
      </w:tr>
      <w:tr>
        <w:trPr/>
        <w:tc>
          <w:tcPr>
            <w:tcW w:w="63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bidi w:val="0"/>
              <w:spacing w:before="0" w:after="283"/>
              <w:jc w:val="left"/>
              <w:rPr/>
            </w:pPr>
            <w:r>
              <w:rPr/>
              <w:t> </w:t>
            </w:r>
          </w:p>
        </w:tc>
      </w:tr>
      <w:tr>
        <w:trPr/>
        <w:tc>
          <w:tcPr>
            <w:tcW w:w="63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r>
      <w:tr>
        <w:trPr/>
        <w:tc>
          <w:tcPr>
            <w:tcW w:w="63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bidi w:val="0"/>
              <w:spacing w:before="0" w:after="283"/>
              <w:jc w:val="left"/>
              <w:rPr/>
            </w:pPr>
            <w:r>
              <w:rPr/>
              <w:t> </w:t>
            </w:r>
          </w:p>
        </w:tc>
      </w:tr>
      <w:tr>
        <w:trPr/>
        <w:tc>
          <w:tcPr>
            <w:tcW w:w="63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37,203,715</w:t>
            </w:r>
          </w:p>
        </w:tc>
      </w:tr>
      <w:tr>
        <w:trPr/>
        <w:tc>
          <w:tcPr>
            <w:tcW w:w="63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2,530,285</w:t>
            </w:r>
          </w:p>
        </w:tc>
      </w:tr>
      <w:tr>
        <w:trPr/>
        <w:tc>
          <w:tcPr>
            <w:tcW w:w="63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3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8,290,914</w:t>
            </w:r>
          </w:p>
        </w:tc>
      </w:tr>
      <w:tr>
        <w:trPr/>
        <w:tc>
          <w:tcPr>
            <w:tcW w:w="63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232,842</w:t>
            </w:r>
          </w:p>
        </w:tc>
      </w:tr>
      <w:tr>
        <w:trPr/>
        <w:tc>
          <w:tcPr>
            <w:tcW w:w="63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r>
      <w:tr>
        <w:trPr/>
        <w:tc>
          <w:tcPr>
            <w:tcW w:w="63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bidi w:val="0"/>
              <w:spacing w:before="0" w:after="283"/>
              <w:jc w:val="left"/>
              <w:rPr/>
            </w:pPr>
            <w:r>
              <w:rPr/>
              <w:t> </w:t>
            </w:r>
          </w:p>
        </w:tc>
      </w:tr>
      <w:tr>
        <w:trPr/>
        <w:tc>
          <w:tcPr>
            <w:tcW w:w="6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r>
      <w:tr>
        <w:trPr/>
        <w:tc>
          <w:tcPr>
            <w:tcW w:w="6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8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to illustrate the effect of the merger and related transactions and has been prepared for informational purposes only.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amended by the final rule, Release No. 33-10786 “</w:t>
      </w:r>
      <w:r>
        <w:rPr>
          <w:rFonts w:ascii="Times New Roman PS Std;serif" w:hAnsi="Times New Roman PS Std;serif"/>
          <w:b w:val="false"/>
          <w:i/>
          <w:caps w:val="false"/>
          <w:smallCaps w:val="false"/>
          <w:sz w:val="20"/>
        </w:rPr>
        <w:t>Amendments to Financial Disclosures about Acquired and Disposed Businesses</w:t>
      </w:r>
      <w:r>
        <w:rPr>
          <w:rFonts w:ascii="Times New Roman PS Std;serif" w:hAnsi="Times New Roman PS Std;serif"/>
          <w:b w:val="false"/>
          <w:i w:val="false"/>
          <w:caps w:val="false"/>
          <w:smallCaps w:val="false"/>
          <w:sz w:val="20"/>
        </w:rPr>
        <w:t>”. Release No. 33-10786 replaces the existing pro forma adjustment criteria with simplified requirements to depict the accounting for the transaction (“</w:t>
      </w:r>
      <w:r>
        <w:rPr>
          <w:rFonts w:ascii="Times New Roman PS Std;serif" w:hAnsi="Times New Roman PS Std;serif"/>
          <w:b w:val="false"/>
          <w:i w:val="false"/>
          <w:caps w:val="false"/>
          <w:smallCaps w:val="false"/>
          <w:sz w:val="20"/>
          <w:u w:val="single"/>
        </w:rPr>
        <w:t>Transaction Accounting Adjustments</w:t>
      </w:r>
      <w:r>
        <w:rPr>
          <w:rFonts w:ascii="Times New Roman PS Std;serif" w:hAnsi="Times New Roman PS Std;serif"/>
          <w:b w:val="false"/>
          <w:i w:val="false"/>
          <w:caps w:val="false"/>
          <w:smallCaps w:val="false"/>
          <w:sz w:val="20"/>
        </w:rPr>
        <w:t>”) and present the reasonably estimable synergies and other transaction effects that have occurred or are reasonably expected to occur (“</w:t>
      </w:r>
      <w:r>
        <w:rPr>
          <w:rFonts w:ascii="Times New Roman PS Std;serif" w:hAnsi="Times New Roman PS Std;serif"/>
          <w:b w:val="false"/>
          <w:i w:val="false"/>
          <w:caps w:val="false"/>
          <w:smallCaps w:val="false"/>
          <w:sz w:val="20"/>
          <w:u w:val="single"/>
        </w:rPr>
        <w:t>Management’s Adjustments</w:t>
      </w:r>
      <w:r>
        <w:rPr>
          <w:rFonts w:ascii="Times New Roman PS Std;serif" w:hAnsi="Times New Roman PS Std;serif"/>
          <w:b w:val="false"/>
          <w:i w:val="false"/>
          <w:caps w:val="false"/>
          <w:smallCaps w:val="false"/>
          <w:sz w:val="20"/>
        </w:rPr>
        <w:t>”). Management has elected not to present Management’s Adjustments and will present only Transaction Accounting Adjustments in the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Adjustments to Unaudited Pro Forma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reclassification adjustments made to the historical financial statement presentation of each of Tenax and AIR to conform to the presentation used in the unaudited pro forma condensed combined financial information. Refer to Note 3 for adjustment detail.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the preliminary acquisition accounting for AIR as the accounting acquiree, including the elimination of AIR’s historical equity balances, recognition of estimated consideration transferred, adjustments to AIR’s identifiable net assets to their preliminary estimated fair values and recognition of preliminary goodwill. Estimated consideration transferred includes $3.8 million representing the preliminary fair value of the redemption rights expected to be issued to eligible legacy AIR stockholders. The rights are assumed to be freestanding and liability-classified, with a corresponding redemption-right liability recognized in the pro forma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Represents the accrual of additional transaction costs of $5.2 million directly attributable to the Mergers that are expected to be incurred by Tenax subsequent to March 31,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repayment of AIR’s outstanding debt by Tenax at closing pursuant to the merger agreement. The adjustment eliminates AIR’s historical debt balances, including related accrued interest and unamortized deferred financing costs, as applicable, with the offset reflected through cash, financing sources, and accumulated deficit for any debt extinguishment impact. The adjustment also reflects the release and reclassification to cash and cash equivalents of restricted cash previously held as collateral for the AIR senior debt upon settlement of such debt. The adjustment further reflects the issuance of a new $30.0 million term loan, presented net of $0.4 million of estimated debt issuance costs, expected to be entered into in connection with the transaction, the proceeds of which will be used to settle AIR indebtedness. Actual debt balances, issuance costs and financing terms may differ from the amounts presented based on the final terms of the financing.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recognition of deferred tax liabilities associated with Tenax becoming subject to corporate income tax following the merger. Historically, Tenax has been treated as a pass-through entity for U.S. federal income tax purposes, and no federal or state income tax provision has been recorded in its historical financial statements. The adjustment is reflected as an increase to deferred tax liabilities with a corresponding increase to accumulated deficit.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equity presentation effects of the reverse acquisition, including the elimination of AIR’s historical equity balances and the presentation of Tenax’s historical members’ equity within AIR’s post-combination legal equity structure. The adjustment records the post-combination AIR common share structure, including shares issued to Tenax securityholders and legacy AIR shares retained, with the offset to additional paid-in capital and accumulated deficit, as applicable.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assumed net settlement of Tenax notes receivable issued in connection with purchases of membership interests. The notes receivable were historically presented as a reduction of Tenax equity and are assumed to be settled against the AIR shares otherwise issuable to the applicable holders in connection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Adjustments to the Unaudited Pro Forma Condensed Combined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estimated income statement effects of the preliminary purchase accounting for AIR, including reduced cost of goods sold resulting from the lower fair value of inventory acquired and subsequently sold during the period, and reduced depreciation driven by the lower fair value assigned to acquired depreciable assets.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$5.2 million of additional transaction costs expected to be incurred by Tenax after March 31, 2026 in connection with the merger. For purposes of the unaudited pro forma condensed combined statement of operations, these costs are reflected as if the merger had occurred on January 1, 2025. These costs are nonrecurring and are not expected to have a continuing impact on the combined company’s results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elimination of historical interest expense, including amortization of deferred financing costs, associated with AIR’s senior and subordinated debt expected to be repaid at closing pursuant to the merger agreement. The adjustment also reflects the recognition of interest expense and amortization of debt issuance costs associated with a new $30.0 million term loan expected to be entered into in connection with the transaction, assuming the financing was outstanding as of January 1, 2025. The pro forma interest expense on the new term loan expected to be entered into at close was calculated using a 7.02% interest rate, which represents Tenax’s effective borrowing rate on its existing senior credit facility as derived from Tenax’s financial statements for the quarter ended March 31, 2026. Management believes this rate represents a reasonable estimate of the combined company’s incremental borrowing cost given the absence of executed financing terms as of the date of the unaudited pro forma condensed combined financial information. Actual interest expense may differ from the amounts presented based on the final terms, timing and amount of borrowings incurred at or following closing.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Historically, Tenax was treated as a pass-through entity for income tax purposes and did not record federal or state income tax expense. The adjustment represents the estimated current and deferred tax effects of the combined company’s pro forma results and transaction accounting adjustments. These amounts are preliminary and may differ from the actual tax provision recognized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Net Earnings/(Loss)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earnings/(loss) per share was calculated using the historical weighted average shares outstanding and the issuance of additional shares as merger consideration, assuming the shares were outstanding since January 1, 2025. As the merger is being reflected as if it had occurred at the beginning of the period presented, the calculation of weighted average shares outstanding for basic and diluted net earnings/(loss) per share assumes that the shares issuable relating to the merger have been outstanding for the entirety of all periods presented.</w:t>
      </w:r>
    </w:p>
    <w:tbl>
      <w:tblPr>
        <w:tblW w:w="10205" w:type="dxa"/>
        <w:jc w:val="left"/>
        <w:tblInd w:w="0" w:type="dxa"/>
        <w:tblLayout w:type="fixed"/>
        <w:tblCellMar>
          <w:top w:w="0" w:type="dxa"/>
          <w:left w:w="0" w:type="dxa"/>
          <w:bottom w:w="0" w:type="dxa"/>
          <w:right w:w="0" w:type="dxa"/>
        </w:tblCellMar>
      </w:tblPr>
      <w:tblGrid>
        <w:gridCol w:w="5963"/>
        <w:gridCol w:w="146"/>
        <w:gridCol w:w="301"/>
        <w:gridCol w:w="1531"/>
        <w:gridCol w:w="241"/>
        <w:gridCol w:w="146"/>
        <w:gridCol w:w="301"/>
        <w:gridCol w:w="1576"/>
      </w:tblGrid>
      <w:tr>
        <w:trPr/>
        <w:tc>
          <w:tcPr>
            <w:tcW w:w="596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EPS Table</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Quarter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March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income attributable to common stockholders, basic(1)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7,118,162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7,991,721</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for change in fair value of assumed Tenax warrants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income attributable to common stockholders,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7,063,422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7,991,721</w:t>
            </w:r>
          </w:p>
        </w:tc>
      </w:tr>
      <w:tr>
        <w:trPr/>
        <w:tc>
          <w:tcPr>
            <w:tcW w:w="59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weighted-average shares: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historical weighted average shares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4,216,918</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shares issued subsequent to March 31, 2026 for director fees and net settlement of vested RSUs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69,604</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February 2026 vested but unsettled RSUs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231,013</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shares issued to Tenax members in the merger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120,457,162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120,457,162</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common shares outstanding,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125,538,833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124,974,697</w:t>
            </w:r>
          </w:p>
        </w:tc>
      </w:tr>
      <w:tr>
        <w:trPr/>
        <w:tc>
          <w:tcPr>
            <w:tcW w:w="59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weighted-average shares: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weighted-average common shares outstanding, 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125,538,833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124,974,697</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unvested AIR RSUs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AIR stock options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7,865</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Tenax warrants assumed by AIR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4,354,822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4,456,032</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common shares outstanding,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129,916,027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129,438,594</w:t>
            </w:r>
          </w:p>
        </w:tc>
      </w:tr>
      <w:tr>
        <w:trPr/>
        <w:tc>
          <w:tcPr>
            <w:tcW w:w="59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59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 per share, 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r>
      <w:tr>
        <w:trPr/>
        <w:tc>
          <w:tcPr>
            <w:tcW w:w="59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 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 forma net earnings per share includes the related pro forma adjustments as referred to within the section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8" w:name="T9968"/>
      <w:bookmarkEnd w:id="68"/>
      <w:r>
        <w:rPr>
          <w:rFonts w:ascii="Times New Roman PS Std;serif" w:hAnsi="Times New Roman PS Std;serif"/>
          <w:b/>
          <w:i w:val="false"/>
          <w:caps w:val="false"/>
          <w:smallCaps w:val="false"/>
          <w:sz w:val="20"/>
        </w:rPr>
        <w:t xml:space="preserve">DESCRIPTION OF AIR BUSINESS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one of the leading manufacturers of precision components and assemblies for large aerospace and defense prime contractors. Our products include landing gears, flight controls, engine mounts and components for aircraft jet engines,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specialize in the aerospace and defense markets, operating within a hierarchical network of suppliers. At the top of the supply chain pyramid is the prime contractor, also known as an original equipment manufacturer (“</w:t>
      </w:r>
      <w:r>
        <w:rPr>
          <w:rFonts w:ascii="Times New Roman PS Std;serif" w:hAnsi="Times New Roman PS Std;serif"/>
          <w:b w:val="false"/>
          <w:i w:val="false"/>
          <w:caps w:val="false"/>
          <w:smallCaps w:val="false"/>
          <w:sz w:val="20"/>
          <w:u w:val="single"/>
        </w:rPr>
        <w:t>OEM</w:t>
      </w:r>
      <w:r>
        <w:rPr>
          <w:rFonts w:ascii="Times New Roman PS Std;serif" w:hAnsi="Times New Roman PS Std;serif"/>
          <w:b w:val="false"/>
          <w:i w:val="false"/>
          <w:caps w:val="false"/>
          <w:smallCaps w:val="false"/>
          <w:sz w:val="20"/>
        </w:rPr>
        <w:t>”). A prime contractor designs, develops and produces the final product for the end-user. We play a critical role in this ecosystem, operating as a “Tier One” supplier, delivering our products directly to prime contractors, or as a “Tier Two” supplier, providing larger complex components to others. In some cases, we ship products directly to the U.S. government. Our strategic position has made us a key partner for many prominent defense prime contractors and global commercial aviation manufacturers, often leading us to become the exclusive or primary supplier for certain high precision parts and assemblies. We often receive long-term agreements (“</w:t>
      </w:r>
      <w:r>
        <w:rPr>
          <w:rFonts w:ascii="Times New Roman PS Std;serif" w:hAnsi="Times New Roman PS Std;serif"/>
          <w:b w:val="false"/>
          <w:i w:val="false"/>
          <w:caps w:val="false"/>
          <w:smallCaps w:val="false"/>
          <w:sz w:val="20"/>
          <w:u w:val="single"/>
        </w:rPr>
        <w:t>LTAs</w:t>
      </w:r>
      <w:r>
        <w:rPr>
          <w:rFonts w:ascii="Times New Roman PS Std;serif" w:hAnsi="Times New Roman PS Std;serif"/>
          <w:b w:val="false"/>
          <w:i w:val="false"/>
          <w:caps w:val="false"/>
          <w:smallCaps w:val="false"/>
          <w:sz w:val="20"/>
        </w:rPr>
        <w:t>”) from our customers, demonstrating their commitment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renowned for our unwavering commitment to genuine quality and exceptional reliability. Our rich history dates to 1941, producing parts for World War II fighter aircraft. Since then, we have maintained an impeccable record with no known incidents of part failure leading to a mission failure or resulting in a fatality. In an era plagued by foreign counterfeit parts, we strategically operate all our facilities within the United States. Our two state-of-the-art manufacturing centers located in Long Island, New York, and Barkhamsted, Connecticut, allow for rigorous oversight of production and adherence to stringent quality standards. Spanning over 150,000 square feet, our manufacturing centers serve as the operational hubs for our three legal subsidiaries, Air Industries Machining Corp., Nassau Tool Works, Inc. and Sterling Engineering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past several years, we have strategically invested substantial amounts in new capital equipment, tooling and processes to bolster our competitive position. Additionally, we have expanded our sales and marketing efforts, with a sharp focus on expanding relationships with customers and cultivating new ones.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finished 2025 with $47.9 million of net sales. Our backlog, which represents the value of all funded orders received, stood at $136.8 million, an increase of 16.0% as compared to our backlog on December 31, 2024. On the bottom-line, we reported a net loss of $1.3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strategy is geared towards competing and winning contracts that enable us to achieve sustainable and profitable business growth and delivering high-quality, reliable products to our customers. At our core lies a highly trained and close-knit team of 158 individuals committed to driving excellence and precision in every aspect of our operations. We are firmly focused on securing new contract awards, improving operations and successful execution. As of March 31, 2026, and December 31, 2025, we had total unfilled contract values amounting to, respectively, $269.2 million (including our $134.7 million in backlog and all potential orders against LTAs previously awarded to us) and $270.1 million (including our $136.8 million in backlog and all potential orders against LTAs previously awarded to 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Profiles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and 2024, respectively, approximately 58.3% and 69.9% of our net sales were attributed to customers who use our products for end-use on military aircraft. The rest of our net sales are attributable to commercial aviation uses and, to a much lesser extent, ground power electricity generation and other uses.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cultivated long-standing relationships with many large and well-known customers,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RTX Corporation (“RTX”) — RTX is a multinational aerospace and defense conglomerate and a major player in the aerospace and defense industry. We sell to several business units and/or subsidiaries of RTX, including Collins Aerospace (which includes Collins Landing Systems and Collins Aerostructures) and Pratt Whitney. RTX was formerly known as Raytheon Technologies Corporation and, prior to that, United Technologies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Lockheed Martin Corporation (“Lockheed Martin”) — Lockheed Martin is a leading global security and aerospace company with its principal customers being agencies of the U.S. government. We sell directly to one of Lockheed Martin’s subsidiaries, Sikorsky Aircraft Corporation (“Sikorsky”).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Northrop Grumman Corporation (“Northrop”) — Northrop Grumman is a leading global aerospace and defense technology company. We supply product used on the E2-D Hawkeye airborne warning and control aircraft.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Electric Aerospace (“GE Aerospace”) — GE Aerospace is a global aerospace propulsion, services and systems leader. We supply GE Aerospace with high precision components that are used in jet turbine aircraft engines that are used on several commercial aircraft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Electric Vernova (“GE Vernova”) — GE Vernova is a purpose-built global energy company that includes power, electrification and wind segments. We supply GE Vernova with precision components that are used in ground-based turbines for electrical power generation.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government — We supply certain components and assemblies directly to the Defense Logistics Agency (“DLA”), a combat support agency within the U.S. Department of War (“DoW”). DLA’s mission is to manage the end-to-end global defense supply chain and deliver readiness to the warfighter. It supports all five U.S. military services, federal, state and local agencies, as well as partner and allied nations. DLA procures items from us and provides them, as it deems fit, to other suppliers who assemble them into finished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Platform and Program Profiles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machined components and assemblies are integral to high-profile platforms and named programs. Platforms generally refer to equipment that is utilized in missions or operations, whereas programs are broader initiatives and can encompass the development and production of new platforms, upgrades to existing systems and other initiatives. The following platforms and programs (ranked in descending order by their 2025 net sales), accounted for 79.7% and 79.3% of our net sales in 2025 and 2024,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Pratt &amp; Whitney Geared Turbo-Fan Engine (“GTF”) — Used in commercial aviation, the GTF represents a new generation of jet engines that offer improved fuel efficiency, reduced emissions, and lower noise levels compared to traditional turbofan engines. We manufacture thrust struts, a critical component that essentially absorbs and distributes the forward thrust produced by the jet engine, ensuring that the force is evenly applied across the structure of the aircraft to maintain stability and integrity during takeoff, cruising and landing. We supply our thrust struts to Collins Aerostructures for integration into GTFs utilized by smaller airlines such as those operating the Airbus A220 and Embraer E2 aircraft. Demand for these engines increased in 2025, thus reducing the concentration in the net sales attributable to military end users. Demand for these engines is anticipated to increase over the next few years.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UH-60 Black Hawk Helicopter — We supply flight critical components, such as the primary flight control assembly and the tail-rotor gearbox, for the UH-60 Black Hawk Helicopter. Serving as the primary helicopter for the U.S. Army, it fulfills essential roles in transport, troop movement, medical evacuation and cargo lift operations. Manufactured by Sikorsky, it includes many variants and is also utilized by other branches of the U.S military and U.S. allied countries. Since entering service in 1979, over 4,000 helicopters have been produced. Deployment of new helicopters is projected to continue through at least 2027, with ongoing sustainment activities anticipated for many years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CH-53 Helicopter (including the CH53K variant) — Developed in the 1960s and manufactured by Sikorsky, the CH-53 is recognized as the largest and most powerful helicopter in the U.S. military. It has evolved through several variants, with hundreds delivered and used by the U.S. Marine Corps. In 2021, we secured a LTA to supply chaff pods for the CH-53K, the latest iteration in the CH-53 series. These pods deploy metallized strips to generate false radar targets, safeguarding the helicopters from missile threats. The CH-53K plays a crucial role in the U.S. Marine Corps’ plans to support a wide range of current and future operations. In 2024, we received a purchase order to manufacture swashplates and hubs to be used on the CH-53K.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E-2D Hawkeye — We provide the main and nose landing gear, as well as the arresting gear for the E-2D Hawkeye, a twin-engine, tactical aircraft utilized for providing advanced airborne warning and control for carrier-based operations. Often referred to as the “digital quarterback”, it conducts battlefield management and command and control operations for aircraft carrier strike groups. While primarily used by the U.S. Navy, a small number have been sold to U.S. allies, notably Japan.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F-35 Lightning II (also known as the Joint Strike Fighter) — Manufactured by Lockheed Martin, the Joint Strike Fighter is a stealth fighter aircraft designed to replace the U.S. Air Force F-15 and the U.S. Navy and Marine Corps F-18 fighters. It includes three variants: the conventional take-off and landing F-35A, the short take-off and vertical landing F-35B and the carrier based variant F-35C. We have produced landing gear components for all three variants and currently manufacture landing gear components for the US Navy version. The production of this aircraft is expected to continue for many years, with the DoW aiming for an inventory objective of 2,456 aircraft, in addition to expected demand from other countries.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F-18 Hornet — The F-18 Hornet, the U.S. Navy’s primary fighter aircraft, principally operates from aircraft carriers and enjoys international use, notably in Finland and Australia. Originating in the late 1960s, it has seen numerous upgrades and enhancements over the years. We manufacture complete landing gear components for several variants, supplying these to the U.S. government or Tier 1 or other suppliers for spares that go on the aircraft that were originally produced by Boeing.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F-15 Eagle Tactical Fighter — designed for the U.S. Air Force, it is known as a dedicated air superiority fighter. Currently manufactured by Boeing, it was designed in the late 1960s with over 600 aircraft estimated to be in service. The F-15 has been exported to various countries including Israel, Saudi Arabia and Japan. Although it is anticipated that this plane will be ultimately replaced by the Joint Strike Fighter, we believe it will be flying for years to come. It boasts an impeccable combat record. We ship most of our components directly to the DoW.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aerospace and defense industry is dominated by a select few large prime contractors including Airbus, Boeing, General Electric, Lockheed Martin, Northrop and RTX. These prime contractors oversee large platforms and programs for the ultimate end-user, the U.S. government, foreign governments or global aviation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supplier is chosen and integrated into a platform or selected for a specific program, replacing them becomes a complex challenge. In many cases, suppliers often become the sole or single source. Being a sole source means being chosen as the exclusive supplier by the customer, whereas being a single source indicates that, despite the availability of other potential manufacturers, only one supplier is currently used. Single or sole sourcing is especially prevalent in the production of legacy aircraft. While prime contractors generally prefer multiple sources for new aircraft production lines to mitigate single points of failure, utilizing a single vendor can lead to higher production volumes, lower average unit costs and opportunities for quality improvements.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for both defense and commercial aviation components is based on new production and subsequent maintenance, repair and overhaul (“</w:t>
      </w:r>
      <w:r>
        <w:rPr>
          <w:rFonts w:ascii="Times New Roman PS Std;serif" w:hAnsi="Times New Roman PS Std;serif"/>
          <w:b w:val="false"/>
          <w:i w:val="false"/>
          <w:caps w:val="false"/>
          <w:smallCaps w:val="false"/>
          <w:sz w:val="20"/>
          <w:u w:val="single"/>
        </w:rPr>
        <w:t>MRO</w:t>
      </w:r>
      <w:r>
        <w:rPr>
          <w:rFonts w:ascii="Times New Roman PS Std;serif" w:hAnsi="Times New Roman PS Std;serif"/>
          <w:b w:val="false"/>
          <w:i w:val="false"/>
          <w:caps w:val="false"/>
          <w:smallCaps w:val="false"/>
          <w:sz w:val="20"/>
        </w:rPr>
        <w:t>”). Flight-critical components are frequently replaced on aircraft on a flight time or flight cycle basis. The demand for MRO and after-market products can continue for many years, even decades, after the production line for new aircraft is shut down.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high level, we are able to monitor the DoW budget for both new production and operations and maintenance components, as well as industry reports to gauge overall industry spending. While large U.S. government programs are managed through specific budget lines and oversight structures, most, if not all,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machine parts and assemblies are not explicitly identified in the U.S. government budget. Therefore, predicting period-to-period demand with precision is challenging. While we primarily rely on our customers to help us project short-term and long-term demand, the timing of receipt of contract awards and related orders is difficult to predict. Consequently, comparative period-to-period net sales for any customer or program may not be meaningful.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activities during 2025 were robust, resulting in a book-to-bill ratio of 1.36x, growth in our funded backlog to $136.8 million and total unfilled contract values amounting to $270.1 million (including our $136.8 million funded backlog and all potential orders against LTAs).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primarily rely upon a small team of highly skilled sales and business development professionals with extensive industry experience and hands-on support from management. Our goal is to cultivate customer relationships akin to partnerships and the concept of customer alignment. For example, our customers heavily rely on suppliers to deliver high-quality parts that meet specifications in a timely and cost-effective manner. They regularly assess suppliers based on various quantitative criteria such as on-time delivery performance, defect rates, adherence to specifications, cost performance, lead times, order processing times, stockout rates and similar metrics. Therefore, one of our primary objectives is to maintain high ratings and leverage these metrics in our sales and marketing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cycle varies significantly, ranging from a few weeks to over a year, depending on the complexity of the product and manufacturing steps involved. While customers may occasionally engage in spot buys, most of our orders (also known as bookings) stem from LTAs. LTAs outline the quantity and price of products the customer may order within a specified time frame. When actual products are needed, the customer places a funded order against the LTA. The value of this funded order is included in our funded backlog until we ship it. Although cancellations of funded orders are possible, customers are usually subject to termination liability, necessitating payment to us for costs incurred up to the termination date. In certain termination cases, the customer is also required to pay us a reasonable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secure new or follow-on LTAs through competitive bidding in response to a customer’s Request for Quotation (“</w:t>
      </w:r>
      <w:r>
        <w:rPr>
          <w:rFonts w:ascii="Times New Roman PS Std;serif" w:hAnsi="Times New Roman PS Std;serif"/>
          <w:b w:val="false"/>
          <w:i w:val="false"/>
          <w:caps w:val="false"/>
          <w:smallCaps w:val="false"/>
          <w:sz w:val="20"/>
          <w:u w:val="single"/>
        </w:rPr>
        <w:t>RFQ</w:t>
      </w:r>
      <w:r>
        <w:rPr>
          <w:rFonts w:ascii="Times New Roman PS Std;serif" w:hAnsi="Times New Roman PS Std;serif"/>
          <w:b w:val="false"/>
          <w:i w:val="false"/>
          <w:caps w:val="false"/>
          <w:smallCaps w:val="false"/>
          <w:sz w:val="20"/>
        </w:rPr>
        <w:t>”). These proposals detail prices based on quantities, which may vary annually, for shipments over multiple years. The bidding process typically entails several rounds of submissions and negotiations before an award is granted. For defense products, in certain cases, LTAs may be awarded or extended without a RFQ or competitive bidding. In such cases, pricing may be determined through cost analysis or audit with ultimate approval by the customer or the U.S. government.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Bookings and 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Bookings represent funded orders secured during a given financial period. In fiscal 2025, bookings were $65 million, a 8.5% decrease compared to $71 million in 2024. Our “book-to-bill” ratio, which is our bookings divided by net sales, was 1.36x for 2025, an improvement over the 1.29x ratio of 2024. Although bookings are subject to wide variations in timing, resulting in period-to-period comparisons not necessarily being meaningful, we do use bookings and our book-to-bill ratio as a gauge of future 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backlog, which can be considered our “funded backlog”, stood at $136.8 million as of December 31, 2025, marking a 16.0% increase from $117.9 million on December 31, 2024. This represents the net sales we expect to realize from funded orders received and is equivalent to our remaining performance obligations pursuant to ASC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606</w:t>
      </w:r>
      <w:r>
        <w:rPr>
          <w:rFonts w:ascii="Times New Roman PS Std;serif" w:hAnsi="Times New Roman PS Std;serif"/>
          <w:b w:val="false"/>
          <w:i w:val="false"/>
          <w:caps w:val="false"/>
          <w:smallCaps w:val="false"/>
          <w:sz w:val="20"/>
        </w:rPr>
        <w:t>”). These funded orders, approved by customers, come from LTAs, spot buys or other contracts and are for essential machined components and assemblies used in the key platforms and programs we serve. Our definition provides visibility into the value of all firm orders. The bulk of our $136.8 million backlog is expected to ship over the next 24 months, but does not include possible or probable future orders pursuant to existing LTAs or probable contract renewals that would also contribute sales during such period. The total potential net sales under contracts actually awarded to us as of December 31, 2025, was $270.1 million, including the value of our existing funded backlog of $136.8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Winning a new contract award is highly competitive. Not only must we have the capabilities to manufacture to customer design specifications, but we compete against companies that have greater financial, physical and technical resources. Our ability to win new contracts generally requires us to become a trusted partner to the customer by having the capabilities to deliver superior quality product, more quickly and with lower pricing than our competitors. Accordingly, we must continually invest in process improvements and capital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we have strategically made significant investments to enhance our competitiveness and market position. For example, in fiscal 2025 and 2024, we invested $3,322,000 and $2,301,000 in new property and equipment to support our goals. These investments have enabled us to increase production efficiency and speed while maintaining closer tolerances, have expanded the size of products we can manufacture and have been appreciated by our customers. Any investment in 2026 will be at a much lower level.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competitors include Monitor Aerospace, a division of GKN Aerospace; Hydromil, a division of Triumph Aerospace Group; Heroux Devetek; and Ellanef Manufacturing, a division of Magellan Corporation.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 Raw Materials and Replacement Parts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production cycle, which spans from ordering raw materials to delivering finished products, can vary from several weeks to over a year. Consequently, for certain products, especially those involving finished assemblies, we must procure significant amounts of raw materials and begin processing well ahead of actual ship dates. This underscores the importance of efficient subcontract management in meeting customer delivery deadlines. In some cases, customers may provide us with raw materials, as they may be able to obtain better processing or delivery schedules from other suppliers, and in other cases, the customer chooses to rely on us to manage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price and availability of many raw materials in the aerospace industry are susceptible to fluctuations in global markets and political conditions. Most raw material suppliers are hesitant to commit to long-term contracts at fixed prices, posing a substantial risk given our strategy often entails entering into LTAs, which require us to commit to long-term price commitments. However, many of our LTAs provide pricing protection when there is a large increase in the cost of raw materials.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July 10, 2026, we employed 158 people. Of these, 89 were involved in manufacturing and production activities, 19 were in quality control, 45 were in administration and the remaining 5 were in sales and procurement. All of our employees are covered under a co-employment agreement with Insperity Services, LLC, a professional employer organization. This arrangement allows us to provide employees with comprehensive benefits at a lower cost than we could provide.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Machining Corp. (“</w:t>
      </w:r>
      <w:r>
        <w:rPr>
          <w:rFonts w:ascii="Times New Roman PS Std;serif" w:hAnsi="Times New Roman PS Std;serif"/>
          <w:b w:val="false"/>
          <w:i w:val="false"/>
          <w:caps w:val="false"/>
          <w:smallCaps w:val="false"/>
          <w:sz w:val="20"/>
          <w:u w:val="single"/>
        </w:rPr>
        <w:t>AIM</w:t>
      </w:r>
      <w:r>
        <w:rPr>
          <w:rFonts w:ascii="Times New Roman PS Std;serif" w:hAnsi="Times New Roman PS Std;serif"/>
          <w:b w:val="false"/>
          <w:i w:val="false"/>
          <w:caps w:val="false"/>
          <w:smallCaps w:val="false"/>
          <w:sz w:val="20"/>
        </w:rPr>
        <w:t>”) has a collective bargaining agreement with the United Service Workers, IUJAT, Local 355 (the “</w:t>
      </w:r>
      <w:r>
        <w:rPr>
          <w:rFonts w:ascii="Times New Roman PS Std;serif" w:hAnsi="Times New Roman PS Std;serif"/>
          <w:b w:val="false"/>
          <w:i w:val="false"/>
          <w:caps w:val="false"/>
          <w:smallCaps w:val="false"/>
          <w:sz w:val="20"/>
          <w:u w:val="single"/>
        </w:rPr>
        <w:t>Union</w:t>
      </w:r>
      <w:r>
        <w:rPr>
          <w:rFonts w:ascii="Times New Roman PS Std;serif" w:hAnsi="Times New Roman PS Std;serif"/>
          <w:b w:val="false"/>
          <w:i w:val="false"/>
          <w:caps w:val="false"/>
          <w:smallCaps w:val="false"/>
          <w:sz w:val="20"/>
        </w:rPr>
        <w:t>”). This agreement is effective until December 31, 2027 and covers the majority of AIM’s 125 personnel. The agreement requires us to make specified contributions to the Union’s United Welfare Fund and United Service Worker’s Security Fund, which provide pension benefits to our employees. We are not obligated to provide any additional pension benefits to our employees. Additionally, the collective bargaining agreement contains a “no-strike” clause and a “no-lock-out” clause. We believe we maintain good relationships with the Union.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are in compliance with all federal, state and local laws and regulations governing our operations and have obtained all material licenses and permits required for the operation of our business. The key regulations impacting our business are further discussed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Environmental Regulation and Employee Safety — We are subject to regulations administered by the United States Environmental Protection Agency, the Occupational Safety and Health Administration, various state agencies and county and local authorities acting in cooperation with federal and state authorities. Among other things, these regulatory bodies impose restrictions that require us to control air, soil and water pollution, require us to protect against occupational exposure to chemicals,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 and safety risks, and require notification or reporting of the storage, use and release of certain hazardous chemicals and substances. This regulatory framework imposes compliance burdens and financial and operating risks on us. Governmental authorities have the power to enforce compliance with these regulations and to obtain injunctions or impose civil and criminal fines in the case of violations.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Comprehensive Environmental Response, Compensation and Liability Act of 1980 (“CERCLA”) imposes strict joint and several liabilities on the present and former owners and operators of facilities that release hazardous substances into the environment. The Resource Conservation and Recovery Act of 1976 (“RCRA”) regulates the generation, transportation, treatment, storage and disposal of hazardous waste. New York and Connecticut, the states where our production facilities are located, also have stringent laws and regulations governing the handling, storage and disposal of hazardous substances, counterparts of CERCLA and RCRA. In addition, the Occupational Safety and Health Act, which requires employers to provide a place of employment that is free from recognized and preventable hazards that are likely to cause serious physical harm to employees, obligates employers to provide notice to employees regarding the presence of hazardous chemicals and to train employees in the use of such substances.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Aviation Administration — We are subject to regulation by the Federal Aviation Administration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Acquisition Regulations — All our U.S. government contracts and those of many of our customers are subject to the procurement rules and regulations of FAR. As such, many of our LTAs require us to adhere to these rules and regulations. During and after the fulfillment of a government contract, we may be audited in respect of the direct and allocated indirect costs attributed to the project. These audits may result in adjustments to our contract costs. Additionally, we may be subject to U.S. government inquiries and investigations because of our participation in government procurement. Any inquiry or investigation can result in fines or limitations on our ability to continue to bid for government contracts and fulfill existing contracts.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strategically located our properties in the U.S. We lease and maintain an approximately 81,000 square foot state-of-the-art manufacturing facility located in Bay Shore, New York. We maintain our corporate headquarters at this facility whose lease expires in September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a second 74,923 square foot state-of the-art manufacturing facility located in Barkhamsted, Connecticut.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2018, Contract Pharmacal Corp. (“</w:t>
      </w:r>
      <w:r>
        <w:rPr>
          <w:rFonts w:ascii="Times New Roman PS Std;serif" w:hAnsi="Times New Roman PS Std;serif"/>
          <w:b w:val="false"/>
          <w:i w:val="false"/>
          <w:caps w:val="false"/>
          <w:smallCaps w:val="false"/>
          <w:sz w:val="20"/>
          <w:u w:val="single"/>
        </w:rPr>
        <w:t>Contract Pharmacal</w:t>
      </w:r>
      <w:r>
        <w:rPr>
          <w:rFonts w:ascii="Times New Roman PS Std;serif" w:hAnsi="Times New Roman PS Std;serif"/>
          <w:b w:val="false"/>
          <w:i w:val="false"/>
          <w:caps w:val="false"/>
          <w:smallCaps w:val="false"/>
          <w:sz w:val="20"/>
        </w:rPr>
        <w:t xml:space="preserve">”)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Contract Pharmacal claims was the sublease commencement date. The validity of the action is extremely suspect in that the subject sublease had no specific commencement date and Contract Pharmacal ultimately received all the space. Discovery was conducted, and Contract Pharmacal moved for summary judgement and to amend its complaint to add a new cause of action, all of which the Company opposed. On July 8, 2021, the court denied Contract Pharmacal’s motion for summary judgement and to add a cause of action. In its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judgment and its motion to amend its complaint. Contract Pharmacal has now submitted a motion to the Appellate Division requesting leave to reargue the court’s denial of its original appeal. The Company will oppose that motion. The Appellate Division has yet to act with respect to Contract Pharmacal’s most recent motion to reargue the Court’s denial of the original appeal. The Company continues to dispute the validity of the claims asserted by Contract Pharmacal and intends to contest them vigorously.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adverse to our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More Information About Our Business and Where to Find 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Internet website is airindustriesgroup.com, at which you can find our filings with the SEC, including press releases, annual reports, quarterly reports, current reports and any amendments to those filings. We also use our website to disseminate other material information to our investors. We also make announcements regarding company developments and financial and operating performance through social media channels such as at LinkedIn.com/company/air-industries-group to communicate with customers and the public about our company, our products, services and other issues. Among other things, we post on our website and social media channels information about our public conference calls (including the scheduled dates, times and the methods by which investors and others can listen to those calls), and we make available for replay webcasts of those calls and other presentations for a limited time. Information and updates about our Annual Meetings will also be posted on our website including on the “Home Page” and in the “Investor Relations” section. None of the information on our website, blog or any other website identified herein is incorporated by reference in this proxy statement/prospectus and such information should not be considered a part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9" w:name="T9969"/>
      <w:bookmarkEnd w:id="69"/>
      <w:r>
        <w:rPr>
          <w:rFonts w:ascii="Times New Roman PS Std;serif" w:hAnsi="Times New Roman PS Std;serif"/>
          <w:b/>
          <w:i w:val="false"/>
          <w:caps w:val="false"/>
          <w:smallCaps w:val="false"/>
          <w:sz w:val="20"/>
        </w:rPr>
        <w:t xml:space="preserve">AIR MANAGEMENT’S DISCUSSION AND ANALYSIS OF FINANCIAL CONDITION </w:t>
        <w:br/>
        <w:t xml:space="preserve">AND RESULTS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of our financial condition and results of operations should be read in conjunction with the section entitled “Unaudited Pro Forma Condensed Combined Financial Statements” beginning on page 93 of this proxy statement/prospectus, AIR’s audited consolidated financial statements for the years ended December 31, 2025 and 2024 and the notes to those statements beginning on page F-28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and AIR’s unaudited consolidated financial statements for the three months ended March 31, 2026 and 2025 and the notes to those statements beginning on page F-6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regarding AIR’s plans, objectives, expectations and intentions. AIR’s future results and financial condition may differ materially from those currently anticipated as a result of the factors described under sections entitled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32 of this proxy statement/prospectus and “Risk Factors” beginning on page 16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one of the leading manufacturers of precision components and assemblies for large aerospace and defense contractors. Our rich history dates to 1941, producing parts for World War II fighter aircraft. Since then, we have maintained an impeccable record with no known incidents of part failure leading to a fatal mission. We became a public company in 2005.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include landing gear, flight controls, engine mounts and components for aircraft jet engines and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net sales are concentrated amongst a number of defense and aerospace prime contractors, we have cultivated long-standing relationships with a number of their subsidiaries and/or business units. Additionally, our net sales are generated across several high-profile platforms and programs, including the F-18 Hornet, the E-2 Hawkeye, the UH-60 Black Hawk Helicopters, GTF Engines (used on smaller aircraft such as the Airbus A220 and Embraer E2), the CH-53 Helicopter, the F-35 Lighting II and the F-15 Eagle Tactical Fighter. In many cases, we are the sole or single supplier of certain parts and components and receive LTAs from our customers, demonstrating their commitment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Winning a new contract award is highly competitive. Our ability to win new contract awards generally requires us to deliver superior quality products, more quickly and with lower pricing than our competitors. Accordingly, we must continually invest in process improvements and capital equipment. Recent investments in new equipment have improved the productive capacity of our employees, increased our efficiency and speed and expanded the size of products we can manufacture. We strategically operate two state-of-the-art manufacturing centers in the U.S. This allows for rigorous oversight of production and adherence to stringent quality standards. Although there is currently a shortage of skilled workers, we maintain a highly trained and close-knit team of over 160 professionals committed to driving excellence and precision in every aspect of our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period-to-period net sales and operating results are significantly impacted by timing. In addition, our gross profit is affected by a variety of factors, including the mix and complexity of products, production efficiencies, price competition and general business operating environments. In some cases, our gross profit is impacted by our ability to deliver replacement parts on short notice. Our operations have a large percentage of fixed factory overhead. As a result, our profit margins are highly variable with sales volumes.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past several years, despite facing significant financial and operational challenges, we have strategically invested substantial amounts in new capital equipment, tooling and processes to bolster our competitive position. Additionally, we expanded our sales and marketing efforts, with a sharp focus on expanding relationships with existing customers and cultivating new ones.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we had total unfilled contract values amounting to, respectively, $269.2 million (including our $134.7 million in backlog and all potential orders against LTAs previously awarded to us) and $270.1 million (including our $136.8 million in backlog and all potential orders against LTAs previously awarded to 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Ending March 31, 2026 and March 31, 2025</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875" w:type="dxa"/>
        <w:jc w:val="left"/>
        <w:tblInd w:w="0" w:type="dxa"/>
        <w:tblLayout w:type="fixed"/>
        <w:tblCellMar>
          <w:top w:w="0" w:type="dxa"/>
          <w:left w:w="0" w:type="dxa"/>
          <w:bottom w:w="0" w:type="dxa"/>
          <w:right w:w="0" w:type="dxa"/>
        </w:tblCellMar>
      </w:tblPr>
      <w:tblGrid>
        <w:gridCol w:w="881"/>
        <w:gridCol w:w="146"/>
        <w:gridCol w:w="286"/>
        <w:gridCol w:w="1246"/>
        <w:gridCol w:w="241"/>
        <w:gridCol w:w="146"/>
        <w:gridCol w:w="896"/>
        <w:gridCol w:w="440"/>
        <w:gridCol w:w="146"/>
        <w:gridCol w:w="286"/>
        <w:gridCol w:w="1246"/>
        <w:gridCol w:w="241"/>
        <w:gridCol w:w="146"/>
        <w:gridCol w:w="896"/>
        <w:gridCol w:w="440"/>
        <w:gridCol w:w="146"/>
        <w:gridCol w:w="286"/>
        <w:gridCol w:w="1201"/>
        <w:gridCol w:w="241"/>
        <w:gridCol w:w="146"/>
        <w:gridCol w:w="781"/>
        <w:gridCol w:w="391"/>
      </w:tblGrid>
      <w:tr>
        <w:trPr/>
        <w:tc>
          <w:tcPr>
            <w:tcW w:w="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Ending </w:t>
              <w:br/>
              <w:t xml:space="preserve">March 31, </w:t>
              <w:br/>
              <w:t>2026</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 xml:space="preserve">Percentage </w:t>
              <w:br/>
              <w:t xml:space="preserve">of </w:t>
              <w:br/>
              <w:t>Net Sales</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Ending </w:t>
              <w:br/>
              <w:t xml:space="preserve">March 31, </w:t>
              <w:br/>
              <w:t>2025</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 xml:space="preserve">Percentage </w:t>
              <w:br/>
              <w:t xml:space="preserve">of </w:t>
              <w:br/>
              <w:t>Net Sales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w:t>
              <w:br/>
              <w:t xml:space="preserve">2026 vs </w:t>
              <w:br/>
              <w:t>2025</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 xml:space="preserve">2026 </w:t>
              <w:br/>
              <w:t>vs 2025</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Balance Sheet Data</w:t>
      </w:r>
    </w:p>
    <w:tbl>
      <w:tblPr>
        <w:tblW w:w="9978" w:type="dxa"/>
        <w:jc w:val="left"/>
        <w:tblInd w:w="0" w:type="dxa"/>
        <w:tblLayout w:type="fixed"/>
        <w:tblCellMar>
          <w:top w:w="0" w:type="dxa"/>
          <w:left w:w="0" w:type="dxa"/>
          <w:bottom w:w="0" w:type="dxa"/>
          <w:right w:w="0" w:type="dxa"/>
        </w:tblCellMar>
      </w:tblPr>
      <w:tblGrid>
        <w:gridCol w:w="2656"/>
        <w:gridCol w:w="146"/>
        <w:gridCol w:w="319"/>
        <w:gridCol w:w="1391"/>
        <w:gridCol w:w="146"/>
        <w:gridCol w:w="305"/>
        <w:gridCol w:w="1330"/>
        <w:gridCol w:w="146"/>
        <w:gridCol w:w="286"/>
        <w:gridCol w:w="1021"/>
        <w:gridCol w:w="241"/>
        <w:gridCol w:w="146"/>
        <w:gridCol w:w="1230"/>
        <w:gridCol w:w="615"/>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 Change</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286,000</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-57.94</w:t>
            </w:r>
          </w:p>
        </w:tc>
        <w:tc>
          <w:tcPr>
            <w:tcW w:w="6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5,659,000</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w:t>
            </w:r>
          </w:p>
        </w:tc>
        <w:tc>
          <w:tcPr>
            <w:tcW w:w="6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6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19,145,000</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6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083" w:type="dxa"/>
        <w:jc w:val="left"/>
        <w:tblInd w:w="0" w:type="dxa"/>
        <w:tblLayout w:type="fixed"/>
        <w:tblCellMar>
          <w:top w:w="0" w:type="dxa"/>
          <w:left w:w="0" w:type="dxa"/>
          <w:bottom w:w="0" w:type="dxa"/>
          <w:right w:w="0" w:type="dxa"/>
        </w:tblCellMar>
      </w:tblPr>
      <w:tblGrid>
        <w:gridCol w:w="2656"/>
        <w:gridCol w:w="146"/>
        <w:gridCol w:w="305"/>
        <w:gridCol w:w="1330"/>
        <w:gridCol w:w="146"/>
        <w:gridCol w:w="305"/>
        <w:gridCol w:w="1330"/>
        <w:gridCol w:w="146"/>
        <w:gridCol w:w="286"/>
        <w:gridCol w:w="1201"/>
        <w:gridCol w:w="241"/>
        <w:gridCol w:w="146"/>
        <w:gridCol w:w="1230"/>
        <w:gridCol w:w="615"/>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 Change</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w:t>
            </w:r>
          </w:p>
        </w:tc>
        <w:tc>
          <w:tcPr>
            <w:tcW w:w="6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11,776,000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-55.47</w:t>
            </w:r>
          </w:p>
        </w:tc>
        <w:tc>
          <w:tcPr>
            <w:tcW w:w="6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w:t>
            </w:r>
          </w:p>
        </w:tc>
        <w:tc>
          <w:tcPr>
            <w:tcW w:w="6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28.45</w:t>
            </w:r>
          </w:p>
        </w:tc>
        <w:tc>
          <w:tcPr>
            <w:tcW w:w="6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for the three months ended March 31, 2026 were $11,606,000, a decrease of $529,000, or 4.4%, compared with $12,135,000 that we achieved in the three months ended March 31, 2025. The period-over-period decrease in net sales was primarily due to overall changes in the mix of products requested by customers, which are discussed further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our net sales for the three months ended March 31,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5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our net sales by platform or program profiles for the three months ended March 31, 2026 and 2025 are shown below:</w:t>
      </w:r>
    </w:p>
    <w:tbl>
      <w:tblPr>
        <w:tblW w:w="5816" w:type="dxa"/>
        <w:jc w:val="left"/>
        <w:tblInd w:w="0" w:type="dxa"/>
        <w:tblLayout w:type="fixed"/>
        <w:tblCellMar>
          <w:top w:w="0" w:type="dxa"/>
          <w:left w:w="0" w:type="dxa"/>
          <w:bottom w:w="0" w:type="dxa"/>
          <w:right w:w="0" w:type="dxa"/>
        </w:tblCellMar>
      </w:tblPr>
      <w:tblGrid>
        <w:gridCol w:w="3016"/>
        <w:gridCol w:w="146"/>
        <w:gridCol w:w="817"/>
        <w:gridCol w:w="400"/>
        <w:gridCol w:w="168"/>
        <w:gridCol w:w="817"/>
        <w:gridCol w:w="452"/>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30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Platform or Program</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8"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UH-60 Black Hawk Helicopter</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GTF</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CH-53 Helicopter</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E-2D Hawkeye</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Lightning II</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 Hornet</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platforms</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the three months ended March 31, 2026 was $2,602,000, as compared to $2,034,000 for the three months ended March 31, 2025. Our gross profit percentage for the three months ended March 31, 2026 increased to 22.4% from 16.8% for the three months ended March 31, 2025. The increase in margin can be attributable to changes in sales across our major platforms, shifts in product mix and overall operating efficiencies. During the second half of 2025, we implemented several cost reductions that benefited our gross profit during the three months ended March 31, 2026 that were not in place during the three months ended March 31,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were $3,167,000 for the three months ended March 31, 2026, an increase of $387,000, or 13.92%, from $2,780,000 for the three months ended March 31, 2025. As a percentage of consolidated net sales, operating expenses increased to 27.3%, compared to 22.9% achieved during the three months ended March 31, 2025. The dollar increase was primarily driven by increases in stock-based compensation costs and professional fees, as well as costs associated with the continued improvement of our information technology system and hardening our cyber-security defenses. We continue to look for ways to reduce our costs and improve our operating performance and financial results.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(which includes amortization of deferred financing costs) was $494,000 during the three months ended March 31, 2026, an increase of $50,000, or 11.2%, from $444,000 during the three months ended March 31, 2025. The increase is primarily attributable to the higher loan balances under our credit facility with Webster Bank (the “</w:t>
      </w:r>
      <w:r>
        <w:rPr>
          <w:rFonts w:ascii="Times New Roman PS Std;serif" w:hAnsi="Times New Roman PS Std;serif"/>
          <w:b w:val="false"/>
          <w:i w:val="false"/>
          <w:caps w:val="false"/>
          <w:smallCaps w:val="false"/>
          <w:sz w:val="20"/>
          <w:u w:val="single"/>
        </w:rPr>
        <w:t>Current Credit Facility</w:t>
      </w:r>
      <w:r>
        <w:rPr>
          <w:rFonts w:ascii="Times New Roman PS Std;serif" w:hAnsi="Times New Roman PS Std;serif"/>
          <w:b w:val="false"/>
          <w:i w:val="false"/>
          <w:caps w:val="false"/>
          <w:smallCaps w:val="false"/>
          <w:sz w:val="20"/>
        </w:rPr>
        <w:t>”). The average interest rate on outstanding debt pursuant to our Current Credit Facility decreased to 6.10% in 2026 as compared to 6.85% in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three months ended March 31, 2026 was $1,020,000, compared to a net loss of $988,000 for the three months ended March 31, 2025, for the reasons discussed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December 31, 2024</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920" w:type="dxa"/>
        <w:jc w:val="left"/>
        <w:tblInd w:w="0" w:type="dxa"/>
        <w:tblLayout w:type="fixed"/>
        <w:tblCellMar>
          <w:top w:w="0" w:type="dxa"/>
          <w:left w:w="0" w:type="dxa"/>
          <w:bottom w:w="0" w:type="dxa"/>
          <w:right w:w="0" w:type="dxa"/>
        </w:tblCellMar>
      </w:tblPr>
      <w:tblGrid>
        <w:gridCol w:w="881"/>
        <w:gridCol w:w="146"/>
        <w:gridCol w:w="286"/>
        <w:gridCol w:w="1246"/>
        <w:gridCol w:w="241"/>
        <w:gridCol w:w="146"/>
        <w:gridCol w:w="896"/>
        <w:gridCol w:w="440"/>
        <w:gridCol w:w="146"/>
        <w:gridCol w:w="286"/>
        <w:gridCol w:w="1246"/>
        <w:gridCol w:w="241"/>
        <w:gridCol w:w="146"/>
        <w:gridCol w:w="896"/>
        <w:gridCol w:w="440"/>
        <w:gridCol w:w="146"/>
        <w:gridCol w:w="286"/>
        <w:gridCol w:w="1201"/>
        <w:gridCol w:w="241"/>
        <w:gridCol w:w="146"/>
        <w:gridCol w:w="826"/>
        <w:gridCol w:w="391"/>
      </w:tblGrid>
      <w:tr>
        <w:trPr/>
        <w:tc>
          <w:tcPr>
            <w:tcW w:w="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 xml:space="preserve">Percentage of </w:t>
              <w:br/>
              <w:t>Net Sales</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br/>
              <w:t xml:space="preserve">Percentage of </w:t>
              <w:br/>
              <w:t>Net Sales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2025 </w:t>
              <w:br/>
              <w:t>vs 2024</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 xml:space="preserve">2025 </w:t>
              <w:br/>
              <w:t>vs 2024</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(7,187,000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992.65</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Benefit from </w:t>
              <w:br/>
              <w:t>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Balance Sheet Data</w:t>
      </w:r>
    </w:p>
    <w:tbl>
      <w:tblPr>
        <w:tblW w:w="9351" w:type="dxa"/>
        <w:jc w:val="left"/>
        <w:tblInd w:w="0" w:type="dxa"/>
        <w:tblLayout w:type="fixed"/>
        <w:tblCellMar>
          <w:top w:w="0" w:type="dxa"/>
          <w:left w:w="0" w:type="dxa"/>
          <w:bottom w:w="0" w:type="dxa"/>
          <w:right w:w="0" w:type="dxa"/>
        </w:tblCellMar>
      </w:tblPr>
      <w:tblGrid>
        <w:gridCol w:w="2656"/>
        <w:gridCol w:w="146"/>
        <w:gridCol w:w="305"/>
        <w:gridCol w:w="1330"/>
        <w:gridCol w:w="146"/>
        <w:gridCol w:w="294"/>
        <w:gridCol w:w="1282"/>
        <w:gridCol w:w="146"/>
        <w:gridCol w:w="286"/>
        <w:gridCol w:w="1201"/>
        <w:gridCol w:w="241"/>
        <w:gridCol w:w="146"/>
        <w:gridCol w:w="781"/>
        <w:gridCol w:w="391"/>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11,776,000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28.45</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in 2025 were $47,921,000, a decrease of $7,187,000, or 13.0%, compared with $55,108,000 that we achieved in 2024. The year-over-year decrease in net sales was primarily due to timing and overall changes in the mix of products requested and delivered in response to customer orders.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our net sales in either 2025 or 2024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88"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our net sales by platform or program profiles for the years ended December 31, 2025 and 2024 are shown below:</w:t>
      </w:r>
    </w:p>
    <w:tbl>
      <w:tblPr>
        <w:tblW w:w="5816" w:type="dxa"/>
        <w:jc w:val="left"/>
        <w:tblInd w:w="0" w:type="dxa"/>
        <w:tblLayout w:type="fixed"/>
        <w:tblCellMar>
          <w:top w:w="0" w:type="dxa"/>
          <w:left w:w="0" w:type="dxa"/>
          <w:bottom w:w="0" w:type="dxa"/>
          <w:right w:w="0" w:type="dxa"/>
        </w:tblCellMar>
      </w:tblPr>
      <w:tblGrid>
        <w:gridCol w:w="3016"/>
        <w:gridCol w:w="146"/>
        <w:gridCol w:w="817"/>
        <w:gridCol w:w="400"/>
        <w:gridCol w:w="168"/>
        <w:gridCol w:w="817"/>
        <w:gridCol w:w="452"/>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30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Platform or Program</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8"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GTF</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UH-60 Black Hawk Helicopter</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CH-53 Helicopter</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E2-D Hawkeye</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Lightning II</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 Hornet</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platforms</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bottom"/>
          </w:tcPr>
          <w:p>
            <w:pPr>
              <w:pStyle w:val="TableContents"/>
              <w:bidi w:val="0"/>
              <w:spacing w:before="0" w:after="283"/>
              <w:jc w:val="left"/>
              <w:rPr/>
            </w:pPr>
            <w:r>
              <w:rPr/>
              <w:t> </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the year ended December 31, 2025 amounted to $8,187,000, a decrease from $8,932,000 in 2024. Our gross profit percentage in fiscal 2025 increased to 17.1% from 16.2% in 2024. This improvement can be attributed to changes in sales across our major platforms, shifts in product mix and cost reductions implemented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2025, operating expenses totaled $8,525,000, an increase of $52,000 from $8,473,000 recorded in 2024. As a percentage of consolidated net sales, operating expenses rose to 17.8%, compared to 15.4% in fiscal 2024. The dollar increase was due primarily to stock compensation expense and information technology expenses offset by lower personnel costs. We continue to look for ways to reduce our operating expenses.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(which includes amortization of deferred financing costs) was $1,841,000 in fiscal 2025, a decrease of $52,000, or 2.8%, from $1,893,000 in 2024. The decrease is primarily attributable to lower levels of subordinated debt during a portion of the year and a decrease in the average interest rate on debt outstanding pursuant to our Current Credit Facility, which decreased to 6.72% in 2025 as compared to 7.66% in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year ended December 31, 2025 was $1,305,000, compared to a net loss of $1,366,000 for the year ended December 31, 2024, for the reasons discussed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we have debt service requirements related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Outstanding indebtedness under our Current Credit Facility of $24,876,000 (consisting of a revolving loan of $19,283,000 and a term loan in the amount of $5,593,000). This debt matures on September 30, 2026, and requires us to make monthly payments on the term loan of approximately $87,000 until the loan matures.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Notes of approximately $4,871,000, maturing on October 1,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equipment leases and contractual obligations related to our normal business, including advances under our solar credit facility for the installation of solar energy systems including the replacement of the existing roof at our Sterling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Current Credit Facility, as amended, we are required to meet a prescribed Fixed Charge Coverage Ratio (“</w:t>
      </w:r>
      <w:r>
        <w:rPr>
          <w:rFonts w:ascii="Times New Roman PS Std;serif" w:hAnsi="Times New Roman PS Std;serif"/>
          <w:b w:val="false"/>
          <w:i w:val="false"/>
          <w:caps w:val="false"/>
          <w:smallCaps w:val="false"/>
          <w:sz w:val="20"/>
          <w:u w:val="single"/>
        </w:rPr>
        <w:t>FCCR</w:t>
      </w:r>
      <w:r>
        <w:rPr>
          <w:rFonts w:ascii="Times New Roman PS Std;serif" w:hAnsi="Times New Roman PS Std;serif"/>
          <w:b w:val="false"/>
          <w:i w:val="false"/>
          <w:caps w:val="false"/>
          <w:smallCaps w:val="false"/>
          <w:sz w:val="20"/>
        </w:rPr>
        <w:t>”) (as defined in the Current Credit Facility) that is determined at the end of each fiscal quarter. This ratio is a financial metric that we use to measure our ability to cover fixed charges such as interest and lease expenses divided by EBITDA. As of March 31, 2026, the Company is required to meet a FCCR of 1.10x. As of March 31, 2026, we were not in compliance with this ratio, having only attained a ratio of 0.93x. We are in compliance with all other required business and financial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and Related Party Notes are classified as current liabilities on the condensed consolidated balance sheet as of March 31, 2026. As a result of the due dates of this debt, there is substantial doubt about our ability to continue as a going concern for the twelve months following the date of filing of these consolidated financial statements. In addition, we are in default under our Current Credit Facility due to our failure to meet the FCCR required for the period ended March 31, 2026. Webster Bank has advised us that it will not renew our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Current Credit Facility expires on September 30, 2026. In addition, we are required to maintain a collection account with our lender into which substantially all cash receipts are remitted. As we are in default under the Current Credit Facility, our lender could choose to increase the rate of interest or refuse to make loans under the revolving portion of the Current Credit Facility and keep the funds remitted to the collection account. If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lender were to raise the rate of interest, it would adversely impact our operating results. If the lender were to cease making new loans under the revolving facility, we would lack the funds to continue operations. The Current Credit Facility expiration date and the rights granted to the lender, combined with the reasonable possibility that we might fail to meet covenants in the future, raise substantial doubt about our ability to continue as a going concern for the one year commencing as of the date of filing this proxy statement/prospectus. To date, the lender has chosen not to exercise any of its remedies, though we have agreed to place $3,930,000 of at-the-market offering proceeds in an interest-bearing account to serve as additional security for the Company’s obligations under the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current operations and strategic initiatives, beginning in December 2024 we raised capital through public market sales of our common stock and believe we can continue to access equity markets in future periods, though there is no assurance as to our ability to do so or as to the price and terms under which we could issue equity securities. During the year ended December 31, 2025, the Company sold 1,213,593 shares of common stock in the public market and generated gross proceeds of $4,869,000, of which approximately $3,930,000 is restricted for the benefit of the Current Credit Facility lender. Since initiating the sales in December 2024, we have sold a total of 1,330,444 shares for gross proceeds of $5,375,000. In light of ongoing negotiations with our lenders and in accordance with the merger agreement, we have temporarily paused all equity raising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discussion of the recent amendments to the Current Credit Facility (all of which have been filed with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periods ending March 31, 2025 and June 30, 2025, we were required to achieve a FCCR of 1.05x. Beginning with the rolling twelve-month period ending September 30, 2025 and going forward, the Company was required to achieve a FCCR of 1.25x. All other covenants remained unchanged. In connection with these changes, the Company paid an amendment fee of $20,000.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10, 2025, the Company entered into a Ninth Amendment where we agreed that $3,930,000 of the proceeds from our at-the-market offering would be maintained in an interest-bearing account. The funds in this account serve as security for our obligations under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December 15, 2025, the Company entered into a Tenth Amendment, which waived the defaults caused by the failure to achieve the required FCCR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February 26, 2026, the Company entered into an Eleventh Amendment, which extended the maturity date of the revolving credit and term loans to September 30, 2026. The company paid an amendment fee of $25,000 and agreed to pay an additional fee of $150,000 on the maturity date of the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close the merger or obtain a new lender to replace the Current Credit Facility, we may not be able meet our financial obligations. As of March 31, 2026, we have borrowing capacity of approximately $787,000 under the revolving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required term loan payments, we may have to make additional payments under the Current Credit Facility. For so long as the term loan under the Current Credit Facility remains outstanding, if Excess Cash Flow (as defined in the Current Credit Facility) is a positive amount for any fiscal year, we are obligated to pay an amount equal to the lesser of (i) twenty-five percent (25%) of the Excess Cash Flow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outstanding indebtedness under the Current Credit Facility and Related Party Notes, we have various equipment leases and contractual obligations of an ongoing nature which we service in the ordinary course out of our cash flow from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material cash requirements are for debt service, funding working capital and capital expenditures. We have historically met these requirements with funds provided by a combination of cash generated from operating activities and cash generated from equity and debt financing transactions. Based on our current revenue visibility, strength of our backlog and availability under our Current Credit Facility, we believe that we have sufficient liquidity to meet our day-to-day cash requirements for our operations. However, we must pay or refinance large portions of our indebtedness prior to September 30, 2026. Further, as a condition to refinancing our Current Credit Facility prior to September 30, 2026, a new lender may require that the holders of our Related Party Notes extend or otherwise modify the subordination agreements they have given in favor of the lender.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do not close the merger, it is unlikely we will be able to pay existing debt and will need to refinance our Current Credit Facility and Related Party Notes. We have engaged in discussions with Webster Bank and the holders of our Related Party Notes to explore potential extensions or refinancings of our obligations. Webster Bank has advised us that it will not extend our Current Credit Facility. Refinancing our indebtedness may require us to pay higher interest rates than we currently pay, agree to more restrictive business or financial covenants or involve the issuance of debt, equity and/or new securities convertible into or exercisable or exchangeable for our common stock. Any failure to refinance our existing debt or obtain additional working capital when required would have a material adverse effect on our business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5 “Debt” in the notes to AIR’s consolidated financial statements beginning on page F-11 of this proxy statement/prospectus for additional information regarding our outstanding indebtedness.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Ending March 31, 2026 and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net cash flows from operating, investing and financing activities for the periods indicated (in thousands):</w:t>
      </w:r>
    </w:p>
    <w:tbl>
      <w:tblPr>
        <w:tblW w:w="5684" w:type="dxa"/>
        <w:jc w:val="left"/>
        <w:tblInd w:w="0" w:type="dxa"/>
        <w:tblLayout w:type="fixed"/>
        <w:tblCellMar>
          <w:top w:w="0" w:type="dxa"/>
          <w:left w:w="0" w:type="dxa"/>
          <w:bottom w:w="0" w:type="dxa"/>
          <w:right w:w="0" w:type="dxa"/>
        </w:tblCellMar>
      </w:tblPr>
      <w:tblGrid>
        <w:gridCol w:w="2731"/>
        <w:gridCol w:w="146"/>
        <w:gridCol w:w="286"/>
        <w:gridCol w:w="781"/>
        <w:gridCol w:w="241"/>
        <w:gridCol w:w="146"/>
        <w:gridCol w:w="286"/>
        <w:gridCol w:w="781"/>
        <w:gridCol w:w="286"/>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March 31,</w:t>
            </w:r>
          </w:p>
        </w:tc>
      </w:tr>
      <w:tr>
        <w:trPr/>
        <w:tc>
          <w:tcPr>
            <w:tcW w:w="2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provided by (used 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we used $1,298,000 in operations, as compared to a cash flow provided of $1,525,000 for the three months ended March 31, 2025. The decrease was due primarily to increases in inventory and accounts receivable and a decrease in accounts payable, partially offset by an increase in 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2025, we generated $1,525,000 from operations which was mainly attributable to a decrease in accounts receivable and the collection of contract costs receivable.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our most recent quarter, we continued to make investments to enhance our competitiveness and market position. Cash used in investing activities of $425,000 and $1,217,000 during the three months ended March 31, 2026 and 2025, respectively, was for new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investments made in the first quarters of 2026 and 2025 increased our production efficiency and speed, while maintaining closer tolerances. We intend to limit capital expenditures until such time as our debt situation is resolved.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March 31, 2026, cash provided by financing activities was $1,329,000. During this period, we increased borrowings under our Current Credit Facility by $1,403,000 (consisting of a net increase in revolving loan borrowings of $1,665,000 and a net decrease of $262,000 against the term loan). Additionally, we made payments of $59,000 pursuant to financing lease obligations, $13,000 on our solar credit facility and $2,000 on a loan payable.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net cash flow from operating, investing and financing activities for the periods indicated (in thousands):</w:t>
      </w:r>
    </w:p>
    <w:tbl>
      <w:tblPr>
        <w:tblW w:w="5684" w:type="dxa"/>
        <w:jc w:val="left"/>
        <w:tblInd w:w="0" w:type="dxa"/>
        <w:tblLayout w:type="fixed"/>
        <w:tblCellMar>
          <w:top w:w="0" w:type="dxa"/>
          <w:left w:w="0" w:type="dxa"/>
          <w:bottom w:w="0" w:type="dxa"/>
          <w:right w:w="0" w:type="dxa"/>
        </w:tblCellMar>
      </w:tblPr>
      <w:tblGrid>
        <w:gridCol w:w="2731"/>
        <w:gridCol w:w="146"/>
        <w:gridCol w:w="286"/>
        <w:gridCol w:w="781"/>
        <w:gridCol w:w="241"/>
        <w:gridCol w:w="146"/>
        <w:gridCol w:w="286"/>
        <w:gridCol w:w="781"/>
        <w:gridCol w:w="286"/>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r>
      <w:tr>
        <w:trPr/>
        <w:tc>
          <w:tcPr>
            <w:tcW w:w="2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provided by (used 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our operations absorbed $1,352,000 of cash, as compared to generating $324,000 of cash in fiscal 2024. The use of cash was due to an increase in inventory of $5,450,000, reflecting material and production costs incurred for product to be delivered in 2026. This was partially offset by non-cash expenses of depreciation and stock-based compensation in the amounts of $2,499,000 and $1,047,000, respectively, and by a reduction in accounts receivable of $1,761,000.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we generated cash flows from operations of $324,000, as compared to $4,862,000 for fiscal 2023. The decrease in cash flows was primarily due to the use of a portion, $2,442,000, of customer deposits which had been advanced prior to 2024 for the procurement of long lead time raw materials expected to be utilized in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we continued to make significant investments to enhance our competitiveness and market position. Cash used in investing activities of $3,122,000 and $2,285,000 in 2025 and 2024, respectively, was for new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investments in 2025 and 2024 increased production efficiency and speed, while maintaining closer tolerances. They also expanded the size of products we can manufacture.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cash provided by financing activities was $8,331,000. During fiscal 2025, we increased borrowings under our Current Credit Facility by $5,343,000 (consisting of a net increase in revolving loan borrowings of $4,713,000 and a net increase of $630,000 against the term loan). We also sold an aggregate of 1,213,593 shares of common stock to the public for net proceeds of $4,638,000. We used cash by paying $1,291,000 of the Related Party Notes. We also made payments of $223,000 pursuant to financing lease obligations and $8,000 on a loan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cash provided by financing activities was $2,368,000. During fiscal 2024, we increased borrowings under our Current Credit Facility by $2,238,000 (consisting of a net increase in revolving loan borrowings of $2,101,000 and a net increase of $137,000 against the term loan) and received advances of $8,000 against the solar credit facility. We also sold an aggregate of 116,851 shares of common stock to the public for net proceeds of $327,000. Additionally, we made payments of $196,000 pursuant to financing lease obligations and $9,000 on a loan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off-balance sheet arrangements as of March 31,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critical accounting estimate is one that is both important to the portrayal of a company’s financial condition and results of operations and requires management’s most difficult, subjective or complex judgements, often as a result of the need to make estimates about the effect of matters that are inherently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inventory valuation, useful lives and impairment of long-lived assets, income tax provision and allowance for credit losses. Changes in the status of certain facts or circumstances could result in material changes to the estimates used in the preparation of the financial statements, and actual results could differ from the estimates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description of our critical accounting estimates: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Inventory valuation, which includes the estimates and methodology used in accounting for the transition of production costs to inventory costs. In our consolidated financial statements, inventory is reflected at the lower of cost or net realizable value. We periodically evaluate inventory items not secured by backlog and establish write-downs to estimated net realizable value for excess quantities, slow-moving goods (defined as goods which do not have an open order and have not had movement for two years), obsolescence and for other impairments of value.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account for income taxes under the asset and liability method, based on the income tax laws in the United States. This approach requires the recognition of deferred tax assets and liabilities for the expected future tax consequences of temporary differences between the carrying amounts and the tax basis of assets and liabilities using expected rates in effect for the tax year in which the differences are expected to reverse. Developing the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The Company has recorded a valuation allowance in the current and prior years to reduce deferred tax assets to zero. If we were to subsequently determine that we would be able to realize deferred tax assets in the future in excess of its net recorded amount, an adjustment to deferred tax assets would increase net income for the period in which such determination was made. We will continue to assess the adequacy of the valuation allowance on a quarterly basis. Our judgments and tax strategies are subject to audit by various taxing authorities.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Evaluation of Disclosure Controls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with the participation of our Acting Chief Executive Officer (“</w:t>
      </w:r>
      <w:r>
        <w:rPr>
          <w:rFonts w:ascii="Times New Roman PS Std;serif" w:hAnsi="Times New Roman PS Std;serif"/>
          <w:b w:val="false"/>
          <w:i w:val="false"/>
          <w:caps w:val="false"/>
          <w:smallCaps w:val="false"/>
          <w:sz w:val="20"/>
          <w:u w:val="single"/>
        </w:rPr>
        <w:t>CEO</w:t>
      </w:r>
      <w:r>
        <w:rPr>
          <w:rFonts w:ascii="Times New Roman PS Std;serif" w:hAnsi="Times New Roman PS Std;serif"/>
          <w:b w:val="false"/>
          <w:i w:val="false"/>
          <w:caps w:val="false"/>
          <w:smallCaps w:val="false"/>
          <w:sz w:val="20"/>
        </w:rPr>
        <w:t>”) and Vice President of Finance, who is our principal financial and accounting officer (“</w:t>
      </w:r>
      <w:r>
        <w:rPr>
          <w:rFonts w:ascii="Times New Roman PS Std;serif" w:hAnsi="Times New Roman PS Std;serif"/>
          <w:b w:val="false"/>
          <w:i w:val="false"/>
          <w:caps w:val="false"/>
          <w:smallCaps w:val="false"/>
          <w:sz w:val="20"/>
          <w:u w:val="single"/>
        </w:rPr>
        <w:t>PFO</w:t>
      </w:r>
      <w:r>
        <w:rPr>
          <w:rFonts w:ascii="Times New Roman PS Std;serif" w:hAnsi="Times New Roman PS Std;serif"/>
          <w:b w:val="false"/>
          <w:i w:val="false"/>
          <w:caps w:val="false"/>
          <w:smallCaps w:val="false"/>
          <w:sz w:val="20"/>
        </w:rPr>
        <w:t>”), evaluated the effectiveness of our disclosure controls and procedures, as defined in Rule 13a-15(e) and 15d-15(e) under the Exchange Act, as of March 31, 2026. Our disclosure controls and procedures are designed to provide reasonable assurance that information we are required to disclose in the reports we file or submit under the Exchange Act is accumulated and communicated to our management, including our CEO and PFO, as appropriate to allow timely decisions regarding required disclosures, and is recorded, processed, summarized and reported within the time periods specified in the SEC’s rules and forms. Based on this evaluation, and as a result of the material weakness described below, our CEO and PFO have concluded that our disclosure controls and procedures were not effective as of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Management’s Report on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establishing and maintaining adequate internal control over financial reporting. Internal control over financial reporting refers to those policies, procedures and processes that pertain to the maintenance of records that accurately and fairly reflect transactions with respect to our assets; provide reasonable assurance that transactions are recorded as necessary to permit preparation of financial statements in accordance with generally accepted accounting principles and that receipts and expenditures are made only in accordance with authorizations of our management; and provide reasonable assurance regarding the prevention and timely detection of unauthorized transactions with respect to our assets that could have a material effect on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assessed the effectiveness of our internal control over financial reporting as of December 31, 2025. In making this assessment, management used criteria set forth by the Committee of Sponsoring Organizations of the Treadway Commission in Internal Control — Integrated Framework (2013).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reported in the 2025 Form 10-K, in connection with their review of our internal controls as of and for the year ended December 31, 2025, our management determined that a material weakness previously identified in our internal controls over financial reporting related to our information technology (“</w:t>
      </w:r>
      <w:r>
        <w:rPr>
          <w:rFonts w:ascii="Times New Roman PS Std;serif" w:hAnsi="Times New Roman PS Std;serif"/>
          <w:b w:val="false"/>
          <w:i w:val="false"/>
          <w:caps w:val="false"/>
          <w:smallCaps w:val="false"/>
          <w:sz w:val="20"/>
          <w:u w:val="single"/>
        </w:rPr>
        <w:t>IT</w:t>
      </w:r>
      <w:r>
        <w:rPr>
          <w:rFonts w:ascii="Times New Roman PS Std;serif" w:hAnsi="Times New Roman PS Std;serif"/>
          <w:b w:val="false"/>
          <w:i w:val="false"/>
          <w:caps w:val="false"/>
          <w:smallCaps w:val="false"/>
          <w:sz w:val="20"/>
        </w:rPr>
        <w:t>”) systems had yet to be remediated.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we outsourced certain IT-related functions to a third-party vendor. In 2022, we identified a material weakness with respect to our IT systems in that we did not design and/or implement primary user access controls and program change management systems over key IT systems to validate that data produced by the relevant IT systems were complete and accurate and to ensure appropriate segregation of duties to adequately restrict user and privileged access to the financially relevant systems and data to our personnel. Further, we identified a material weakness with respect to the activities of our vendor in connection with the design and operation of our IT systems; because this vendor is unable to provide a Standard Operating Control Report, we were unable to verify and validate the effectiveness of the vendor’s control procedures when implementing changes to our IT systems, including systems affecting our financial IT applications and underlying data account records.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2025, we implemented new IT controls that required our third-party vendor to make only changes to our IT systems with specific authorization and a requirement that such change be monitored in real-time by an employee of the Company that is familiar with the changes that are being made by our third-party vendor. Although we implemented a process to monitor users being granted privileged access and that such access is being monitored by a periodic user review process, additional enhancements and more formalized documentation is still required. Tests of such controls and procedures are ongoing, and the material weakness noted will only be deemed to have been remediated after the new controls and procedures have been in place for a sufficient period and management has concluded through appropriate testing that the controls are operating effectively. As such, we consider this material weakness not to be remediated as of March 31, 2026. Based on this evaluation and as a result of this material weakness, we have concluded that our disclosure controls and procedures were not effective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2026, the Company is continuing to test such controls and procedures designed to remediate the aforementioned material weakness.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and Disagreements with Accountants on Accounting and Financial Disclosure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16, 2025, Marcum LLP (“</w:t>
      </w:r>
      <w:r>
        <w:rPr>
          <w:rFonts w:ascii="Times New Roman PS Std;serif" w:hAnsi="Times New Roman PS Std;serif"/>
          <w:b w:val="false"/>
          <w:i w:val="false"/>
          <w:caps w:val="false"/>
          <w:smallCaps w:val="false"/>
          <w:sz w:val="20"/>
          <w:u w:val="single"/>
        </w:rPr>
        <w:t>Marcum</w:t>
      </w:r>
      <w:r>
        <w:rPr>
          <w:rFonts w:ascii="Times New Roman PS Std;serif" w:hAnsi="Times New Roman PS Std;serif"/>
          <w:b w:val="false"/>
          <w:i w:val="false"/>
          <w:caps w:val="false"/>
          <w:smallCaps w:val="false"/>
          <w:sz w:val="20"/>
        </w:rPr>
        <w:t>”) notified us that Marcum resigned as our independent registered accounting firm. On November 1, 2024, CBIZ CPAs P.C. (“</w:t>
      </w:r>
      <w:r>
        <w:rPr>
          <w:rFonts w:ascii="Times New Roman PS Std;serif" w:hAnsi="Times New Roman PS Std;serif"/>
          <w:b w:val="false"/>
          <w:i w:val="false"/>
          <w:caps w:val="false"/>
          <w:smallCaps w:val="false"/>
          <w:sz w:val="20"/>
          <w:u w:val="single"/>
        </w:rPr>
        <w:t>CBIZ</w:t>
      </w:r>
      <w:r>
        <w:rPr>
          <w:rFonts w:ascii="Times New Roman PS Std;serif" w:hAnsi="Times New Roman PS Std;serif"/>
          <w:b w:val="false"/>
          <w:i w:val="false"/>
          <w:caps w:val="false"/>
          <w:smallCaps w:val="false"/>
          <w:sz w:val="20"/>
        </w:rPr>
        <w:t xml:space="preserve">”) acquired the attest business of Marcum. On April 17, 2025, following the approval of the Audit Committee of the AIR Board, CBIZ was engaged, effectively immediately, as our independent registered public accounting firm for the fiscal year ended December 31, 2025. During the years ended December 31, 2024 and 2023 and through the date on which Marcum advised us of their resignation, there were no disagreements (as defined in Item 304(a)(1)(v) of Regulation S-K and related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instructions) with Marcum on any matter of accounting principles or practices, financial statement disclosure or auditing scope or procedure, which disagreements, if not resolved to Marcum’s satisfaction, would have caused them to make reference thereto in their reports on the Company’s financial statements for such periods.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described above, there have not been any changes in our internal control over financial reporting, as such term is defined in Rules 13a-15(f) and 15d-15(f) under the Exchange Act, during our two most recent fiscal years that have materially affected, or are reasonably likely to materially affect, our internal control over financial reporting.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 About Market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 smaller reporting company as defined by Rule 12b-2 of the Exchange Act and is not required to provide the information otherwise required by this item.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0" w:name="T9970"/>
      <w:bookmarkEnd w:id="70"/>
      <w:r>
        <w:rPr>
          <w:rFonts w:ascii="Times New Roman PS Std;serif" w:hAnsi="Times New Roman PS Std;serif"/>
          <w:b/>
          <w:i w:val="false"/>
          <w:caps w:val="false"/>
          <w:smallCaps w:val="false"/>
          <w:sz w:val="20"/>
        </w:rPr>
        <w:t xml:space="preserve">DESCRIPTION OF TENAX BUSINESS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of special mission aircraft and related products and services sold primarily to the U.S. and other governments, either directly or through prime contractors. Tenax’s offerings include aircraft procurement, modification, operations and financing; engineering and systems integration; and program management. Tenax’s programs support missions critical to national security and the public interest, including aerial firefighting; mapping and monitoring; intelligence, surveillance and reconnaissance work; testing of airborne sensors and training of airborne sensor operators.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acquires general aviation aircraft and modifies, integrates and operates them to meet a customer’s requirements. Unlike many of its competitors, Tenax does not acquire and modify aircraft without a customer contract in hand. Tenax’s business is mostly direct-to-customer contract awards most often structured under Contractor Owned, Contractor Operated (“</w:t>
      </w:r>
      <w:r>
        <w:rPr>
          <w:rFonts w:ascii="Times New Roman PS Std;serif" w:hAnsi="Times New Roman PS Std;serif"/>
          <w:b w:val="false"/>
          <w:i w:val="false"/>
          <w:caps w:val="false"/>
          <w:smallCaps w:val="false"/>
          <w:sz w:val="20"/>
          <w:u w:val="single"/>
        </w:rPr>
        <w:t>COCO</w:t>
      </w:r>
      <w:r>
        <w:rPr>
          <w:rFonts w:ascii="Times New Roman PS Std;serif" w:hAnsi="Times New Roman PS Std;serif"/>
          <w:b w:val="false"/>
          <w:i w:val="false"/>
          <w:caps w:val="false"/>
          <w:smallCaps w:val="false"/>
          <w:sz w:val="20"/>
        </w:rPr>
        <w:t>”) arrangements. Tenax’s contracts vary in the level of support Tenax provides, from a high level of support, including Tenax-supplied pilots and maintenance personnel, to no support after the modifications have been completed. On some of its contracts Tenax is a sole source supplier.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was founded in 2001 and today operates with headquarters in Ridgeland, Mississippi, with additional operations and facilities in Arlington, Virginia, and Hagerstown, Maryland. In January 2018, Tenax was acquired by Thomas Foley, Taran Bakker and other investors organized by NTC Group, an investment and management services company based in Greenwich, Connecticut. Mr. Foley currently owns approximately 57.8% of Tenax, and Mr. Bakker currently owns approximately 13.1% of Tenax. Mr. Foley has more than 40 years of experience acquiring and operating businesses in the aerospace and defense industry. He worked at McKinsey &amp; Co. and Citicorp Venture Capital before forming NTC Group in 1985. Mr. Bakker also worked at McKinsey &amp; Co. and then Morgan Stanley, before joining Goldman Sachs where he spent twelve years in mergers and acquisitions and five years acquiring and overseeing companies for Goldman Sachs Capital Partners Fund VI.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acquiring Tenax, Mr. Foley and Mr. Bakker refocused Tenax’s strategy toward durable missions and “sticky” contracts. Contracts become sticky when customer switching costs are high, either because Tenax has unique expertise suitable for performing the contract, Tenax owns intellectual property related to the contract, the customer has a significant investment in modifications made to a Tenax asset or the contract is sole sourced. To grow the business more rapidly and implement this refocused strategy, Mr. Foley and Mr. Bakker hired a new president and a new business development team. Tenax’s net income grew from approximately $965,384 in 2019 to $18.6 million in 2025. Tenax’s EBITDA grew from approximately $30 million in 2019 to a current Run-Rate EBITDA3 of more than $72 million, representing a 15.7% growth rate over the period. Most of that EBITDA growth was internal, but approximately $13.5 million of 2025 EBITDA can be attributed to Tenax’s 2022 acquisition of DS Technologies, LLC (“</w:t>
      </w:r>
      <w:r>
        <w:rPr>
          <w:rFonts w:ascii="Times New Roman PS Std;serif" w:hAnsi="Times New Roman PS Std;serif"/>
          <w:b w:val="false"/>
          <w:i w:val="false"/>
          <w:caps w:val="false"/>
          <w:smallCaps w:val="false"/>
          <w:sz w:val="20"/>
          <w:u w:val="single"/>
        </w:rPr>
        <w:t>DST</w:t>
      </w:r>
      <w:r>
        <w:rPr>
          <w:rFonts w:ascii="Times New Roman PS Std;serif" w:hAnsi="Times New Roman PS Std;serif"/>
          <w:b w:val="false"/>
          <w:i w:val="false"/>
          <w:caps w:val="false"/>
          <w:smallCaps w:val="false"/>
          <w:sz w:val="20"/>
        </w:rPr>
        <w:t>”), an aerospace and defense supplier of products and services, including modified ISR aircraft, signal intelligence sensor testing, sensor training and operations and other ISR mission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important part of Tenax’s strategy is growth through acquisitions. Tenax looks for acquisition opportunities that complement its current aerospace and defense business, including acquisition targets that provide different aircraft and roles for firefighting, ISR and other types of special mission work. Tenax also looks for acquisition targets that provide similar aircraft and roles outside of the U.S., as well as companies that could internalize some or all of Tenax’s aircraft modification and maintenance work. Tenax has and expects to continue to pursue opportunities where unmanned aircraft can perform special mission roles currently performed by manned aircraft. Following completion of the merger with AIR, Tenax expects to pursue acquisitions of other aerospace and defense product and component manufacturing businesses that are related to Tenax’s and AIR’s current markets or customer bases. Mr. Foley and Mr. Bakker, through NTC Group, are heavily involved in operations and decision-making at Tenax and lead the effort to identify potential acquisitions. NTC Group brought Tenax the DST acquisition opportunity as well as the current merger opportunity with AIR. NTC Group regularly brings acquisition opportunities to Tenax for its consideration. Tenax expects that acquisitions will be a significant contributor to Tenax’s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takes a long term view toward investing in its business and is conservative in its approach to acquisitions. In the past, Tenax has not typically participated in auctions and has not sought to purchase businesses </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Because Run-Rate EBITDA reflects estimated future results, Tenax is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have been purchased relatively recently by the seller, as in the case of private equity-owned businesses. Tenax is cautious about paying for synergies when purchasing a company. Rather than fully integrating the businesses it acquires, Tenax prefers a cooperating but standalone portfolio company model. However, businesses that Tenax acquires that are government contractors will generally benefit from close coordination with Tenax’s business development team. Tenax focuses its acquisitions primarily on founder- and family-owned businesses that have a strategic rationale that aligns with Tenax’s business, have a sustainable competitive advantage and can be purchased at a conservative multiple with a significant portion of the purchase price being contingent on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Foley and Mr. Bakker are not compensated directly by Tenax. Pursuant to a management services agreement and a financial services agreement between NTC Group and Tenax, Tenax pays management and financial services fees to NTC Group which, in turn, compensates Mr. Foley and Mr. Bakker. The annual management fee payable to NTC Group is approximately five percent of Tenax’s annual EBITDA. Financial services fees payable to NTC Group are up to 1% of the aggregate amount of any financing and, in the case of mergers or acquisitions, up to 1.5% of the enterprise value. Management fees paid to NTC Group were $2,621,000 and $2,894,000 in 2024 and 2025, respectively. No financial services fees were paid in 2024 or 2025. A $1 million financial services fee was paid to NTC Group in connection with the purchase of Bain Capital Credit’s equity in Tenax and the related refinancing in January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does not currently file reports with the SEC. Tenax’s Internet address is </w:t>
      </w:r>
      <w:r>
        <w:rPr>
          <w:rFonts w:ascii="Times New Roman PS Std;serif" w:hAnsi="Times New Roman PS Std;serif"/>
          <w:b w:val="false"/>
          <w:i/>
          <w:caps w:val="false"/>
          <w:smallCaps w:val="false"/>
          <w:sz w:val="20"/>
        </w:rPr>
        <w:t>www.tenaxaerospace.com</w:t>
      </w:r>
      <w:r>
        <w:rPr>
          <w:rFonts w:ascii="Times New Roman PS Std;serif" w:hAnsi="Times New Roman PS Std;serif"/>
          <w:b w:val="false"/>
          <w:i w:val="false"/>
          <w:caps w:val="false"/>
          <w:smallCaps w:val="false"/>
          <w:sz w:val="20"/>
        </w:rPr>
        <w:t>. Information contained on, or that can be accessed through, Tenax’s website is not incorporated by reference into this proxy statement/prospectus, and you should not consider information on Tenax’s website to be part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Aerial Firefighting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serves as the prime contractor to the U.S. Forest Service for the Aerial Supervision Module (“</w:t>
      </w:r>
      <w:r>
        <w:rPr>
          <w:rFonts w:ascii="Times New Roman PS Std;serif" w:hAnsi="Times New Roman PS Std;serif"/>
          <w:b w:val="false"/>
          <w:i w:val="false"/>
          <w:caps w:val="false"/>
          <w:smallCaps w:val="false"/>
          <w:sz w:val="20"/>
          <w:u w:val="single"/>
        </w:rPr>
        <w:t>ASM</w:t>
      </w:r>
      <w:r>
        <w:rPr>
          <w:rFonts w:ascii="Times New Roman PS Std;serif" w:hAnsi="Times New Roman PS Std;serif"/>
          <w:b w:val="false"/>
          <w:i w:val="false"/>
          <w:caps w:val="false"/>
          <w:smallCaps w:val="false"/>
          <w:sz w:val="20"/>
        </w:rPr>
        <w:t>”) program. The ASM program includes a fleet of 16 aircraft that deliver approximately 3,900 flight hours annually and maintain operational readiness of over 99 percent as of March 31, 2026.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electro-optical/infrared (“</w:t>
      </w:r>
      <w:r>
        <w:rPr>
          <w:rFonts w:ascii="Times New Roman PS Std;serif" w:hAnsi="Times New Roman PS Std;serif"/>
          <w:b w:val="false"/>
          <w:i w:val="false"/>
          <w:caps w:val="false"/>
          <w:smallCaps w:val="false"/>
          <w:sz w:val="20"/>
          <w:u w:val="single"/>
        </w:rPr>
        <w:t>EO/IR</w:t>
      </w:r>
      <w:r>
        <w:rPr>
          <w:rFonts w:ascii="Times New Roman PS Std;serif" w:hAnsi="Times New Roman PS Std;serif"/>
          <w:b w:val="false"/>
          <w:i w:val="false"/>
          <w:caps w:val="false"/>
          <w:smallCaps w:val="false"/>
          <w:sz w:val="20"/>
        </w:rPr>
        <w:t>”) support. These programs are structured with different levels of support for the customer, including contracts where Tenax supplies only the aircraft and other programs where Tenax supplies the aircraft, pilots, maintenance and sensor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Mapping and Multi-Mission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operates aircraft that combine high-altitude mapping and intelligence, surveillance and reconnaissance (“</w:t>
      </w:r>
      <w:r>
        <w:rPr>
          <w:rFonts w:ascii="Times New Roman PS Std;serif" w:hAnsi="Times New Roman PS Std;serif"/>
          <w:b w:val="false"/>
          <w:i w:val="false"/>
          <w:caps w:val="false"/>
          <w:smallCaps w:val="false"/>
          <w:sz w:val="20"/>
          <w:u w:val="single"/>
        </w:rPr>
        <w:t>ISR</w:t>
      </w:r>
      <w:r>
        <w:rPr>
          <w:rFonts w:ascii="Times New Roman PS Std;serif" w:hAnsi="Times New Roman PS Std;serif"/>
          <w:b w:val="false"/>
          <w:i w:val="false"/>
          <w:caps w:val="false"/>
          <w:smallCaps w:val="false"/>
          <w:sz w:val="20"/>
        </w:rPr>
        <w:t>”) capabilities. Under the U.S. Army Geospatial Center’s HR3D program, Tenax provides aircraft to various U.S. Combatant Commands such as AFRICOM and INDOPACOM. These aircraft carry various combinations of high-altitude light detection and ranging (“</w:t>
      </w:r>
      <w:r>
        <w:rPr>
          <w:rFonts w:ascii="Times New Roman PS Std;serif" w:hAnsi="Times New Roman PS Std;serif"/>
          <w:b w:val="false"/>
          <w:i w:val="false"/>
          <w:caps w:val="false"/>
          <w:smallCaps w:val="false"/>
          <w:sz w:val="20"/>
          <w:u w:val="single"/>
        </w:rPr>
        <w:t>LiDAR</w:t>
      </w:r>
      <w:r>
        <w:rPr>
          <w:rFonts w:ascii="Times New Roman PS Std;serif" w:hAnsi="Times New Roman PS Std;serif"/>
          <w:b w:val="false"/>
          <w:i w:val="false"/>
          <w:caps w:val="false"/>
          <w:smallCaps w:val="false"/>
          <w:sz w:val="20"/>
        </w:rPr>
        <w:t>”) sensors, foliage-penetrating sensors, high-definition photographic sensors, EO/IR sensors with full motion video and signals intelligence (“</w:t>
      </w:r>
      <w:r>
        <w:rPr>
          <w:rFonts w:ascii="Times New Roman PS Std;serif" w:hAnsi="Times New Roman PS Std;serif"/>
          <w:b w:val="false"/>
          <w:i w:val="false"/>
          <w:caps w:val="false"/>
          <w:smallCaps w:val="false"/>
          <w:sz w:val="20"/>
          <w:u w:val="single"/>
        </w:rPr>
        <w:t>SIGINT</w:t>
      </w:r>
      <w:r>
        <w:rPr>
          <w:rFonts w:ascii="Times New Roman PS Std;serif" w:hAnsi="Times New Roman PS Std;serif"/>
          <w:b w:val="false"/>
          <w:i w:val="false"/>
          <w:caps w:val="false"/>
          <w:smallCaps w:val="false"/>
          <w:sz w:val="20"/>
        </w:rPr>
        <w:t>”) sensors. These aircraft are capable of mapping up to 1,000 square miles per day. While mapping is the primary mission, these aircraft are configured to fulfill ISR roles. Under the HR3D program, Tenax provides pilots and maintenance personnel under COCO arrangements, including in locations outside the continental U.S. Tenax also provides aircraft for the FBI Critical Incident Response Group to support a wide range of missions and aircraft for the U.S. Navy’s continental U.S.-based training and transportation needs.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Intelligence, Surveillance and Reconnaissance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assists with SIGINT, Electronic Warfare and Imagery Intelligence (or EO/IR) missions for certain customers. Tenax provides aircraft for these purposes to the U.S. government and to partner nations with Tenax providing flight operations and maintenance support. Tenax also supports maritime patrol and border surveillance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Florida Department of Law Enforcement by providing aircraft equipped with EO/IR, radar, Starlink communications, a proprietary mission control system and special law enforcement radios. Tenax also provides the U.S. Army with two aircraft for its medium-altitude ISR missions supporting national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Sensor Integration, Modification, Testing and Training and Logistics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falls within the aerospace and defense supplier sector. According to the Aerospace and Defense Market Report 2026, published in January 2026 by The Business Research Company, the aerospace and defense market is estimated to be approximately $900 billion and is expected to grow approximately 7.1% annually through 2030. The recent shift in U.S. military spending priorities away from consulting services and toward combat readiness is beneficial to Tenax. A recently proposed expansion of the annual U.S. military budget from approximately $900 billion to approximately $1.5 trillion and supplemental bills to finance the U.S. war in Iran, if passed, are likely to significantly increase business for aerospace and defense suppliers, including Tenax. The emergence of near-peer status with China and other causes of rising global tensions, the aging of U.S. government aircraft fleets and the need for quicker fulfillment of requirements should also increase long term demand for Tenax’s products and services. Commercial demand for special mission aviation work in areas such as environmental monitoring, search and rescue and border patrol is expected to grow as technology expands the capability of aircraft to perform these missions. Advances in avionics, sensors and communications continue to increase the range and value of airborne mission applications. Tenax’s focus on enduring missions and its ability to deliver very flexible aircraft solutions position it to benefit from all of these favorable long term trends.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Strategy &amp; Competitive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goal is to be the most reliable special mission resource and most trusted partner for its customers. Tenax achieves this goal by pricing its products and services reasonably, delivering quality and up-to-date equipment on time and providing maximum operational availability. Tenax only pursues high value, durable business such as firefighting, mapping, intelligence gathering, military training and medical evacuations.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strategy leverages several competitive strengths that Tenax believes provide it with an advantage over many of its competitors. Tenax offers customers the opportunity to combine sourcing and modification of aircraft with operations and logistics support, which provides customers with a one-stop source for meeting their aviation requirements. Tenax believes its balance sheet and access to financing enable it to purchase more expensive aircraft and fund more expensive modifications than most of its smaller competitors. Smaller competitors often do not have the resources or relationships to shape mission requirements. In addition, many large OEMs and prime contractors are not interested in supplying and operating aircraft under COCO arrangements, limiting their participation in the market for many of the products and services Tenax provides its customers. Tenax’s technical team brings significant specialized expertise in modifying aircraft to meet special mission requirements that smaller competitors do not have. Tenax has experience and a proven performance track record that make it difficult for new entrants to compete for contracts. Each of these strengths give Tenax a competitive advantage.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Compelling Value Proposition for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enables customers to outsource important aviation missions to a specialized provider who delivers superior, and usually less expensive, outcomes compared to direct ownership and operation of aircraft. By providing aircraft operations for a fee, Tenax reduces customers’ upfront capital requirements, opens up operations and maintenance (“</w:t>
      </w:r>
      <w:r>
        <w:rPr>
          <w:rFonts w:ascii="Times New Roman PS Std;serif" w:hAnsi="Times New Roman PS Std;serif"/>
          <w:b w:val="false"/>
          <w:i w:val="false"/>
          <w:caps w:val="false"/>
          <w:smallCaps w:val="false"/>
          <w:sz w:val="20"/>
          <w:u w:val="single"/>
        </w:rPr>
        <w:t>O&amp;M</w:t>
      </w:r>
      <w:r>
        <w:rPr>
          <w:rFonts w:ascii="Times New Roman PS Std;serif" w:hAnsi="Times New Roman PS Std;serif"/>
          <w:b w:val="false"/>
          <w:i w:val="false"/>
          <w:caps w:val="false"/>
          <w:smallCaps w:val="false"/>
          <w:sz w:val="20"/>
        </w:rPr>
        <w:t>”) funds as a funding source, improves customers’ operational readiness and allows them access to modern, mission-configured aircraft without long procurement timelines. Tenax’s integrated model, combining aircraft sourcing, modification, operations and maintenance, provides customers with a single point of out-sourcing.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Highly Experienced Team with Specialized Expertise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technical teams bring extensive experience and expertise, providing an advantage when guiding customers through the complexities of fulfilling the customer’s requirements. This expertise includes developing operational specifications, selecting the right airframes, performing modifications and integrating advanced sensors. Tenax’s leadership team includes former U.S. military general officers and special operations commanders with significant special mission experience. These relationships help Tenax understand customer requirements sooner and better, giving Tenax more time to meet delivery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operational expertise includes logistics planning, maintenance support, parts sourcing and operating in demanding environments. This sometimes involves sustaining operations in locations outside the United States where access to parts, maintenance facilities and qualified personnel can be challenging. These capabilities and specialized technical knowledge give Tenax a competitive advantage. Tenax has a network of vetted engineering and modification partners that provide Tenax with flexible capacity while maintaining quality standards.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Operational Capabilities Necessary for Special Mission Work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leadership and technical teams bring extensive technical, contracting, special operations and aviation operations experience that provide Tenax with an advantage over many of its competitors, particularly larger aerospace and defense contractors who typically do not offer aviation operations. Tenax has spent more than two decades developing the expertise, focus, culture, clearances and partnerships required to execute reliably in special mission environments. Currently, Tenax maintains 90%+ operational availability across a 43-aircraft fleet, demonstrating consistent execution despite often challenging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 proven track record of on-time, on-budget delivery of significantly modified airframes, earning a reputation for high-quality equipment and services. Over its history Tenax has modified or overseen modification of more than 100 aircraft. This track record has fostered cooperative, trusted and longstanding relationships with key decision-makers across Tenax’s customer base. In government contracting markets, past performance is among the most heavily weighted factors in contract award decisions. Tenax’s demonstrated operational capabilities and reliability have been key drivers of its success in both initial contract awards and recompetes. Once a contract is won, the customer’s investment in a uniquely modified aircraft creates significant switching costs. As a result, the original contract winner has an advantage in retaining the business and winning recompetes for as long as the aircraft and sensor technology continue to meet the customer’s requirements.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Growth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demonstrated its ability to grow with current customers and find business with new customers and it expects to continue to do so in the future. Tenax takes deliberate steps to ensure it continues to satisfy its customers. For example, prior to the recent recompete of the U.S. Forest Service contract, Tenax upgraded its aircraft under the contract from the Beechcraft King Air C90 to the Beechcraft King Air 250 which helped ensure a recompete win while increasing the revenue and profitability from the higher performing, more expensive aircraft. In addition, the U.S. Forest Service has increased its ASM fleet size in the last year from fifteen to sixteen aircraft and has indicated an interest in further increasing the fleet size up to twenty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 strong history of recompete success. Since 2004, when a mission was continuing, Tenax has won twenty-three out of twenty-four recompetes, and there were only two instances of option years not being exercised. This is a critical metric in government contracting markets where past performance and operational readiness are primary drivers of award decisions. Tenax intends to continue pursuing recompetes and expanding into new contracts with current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successful efforts of Tenax’s business development team, Tenax has won significant new business in the last year, including a standoff jammer (“</w:t>
      </w:r>
      <w:r>
        <w:rPr>
          <w:rFonts w:ascii="Times New Roman PS Std;serif" w:hAnsi="Times New Roman PS Std;serif"/>
          <w:b w:val="false"/>
          <w:i w:val="false"/>
          <w:caps w:val="false"/>
          <w:smallCaps w:val="false"/>
          <w:sz w:val="20"/>
          <w:u w:val="single"/>
        </w:rPr>
        <w:t>CAS-SOJ</w:t>
      </w:r>
      <w:r>
        <w:rPr>
          <w:rFonts w:ascii="Times New Roman PS Std;serif" w:hAnsi="Times New Roman PS Std;serif"/>
          <w:b w:val="false"/>
          <w:i w:val="false"/>
          <w:caps w:val="false"/>
          <w:smallCaps w:val="false"/>
          <w:sz w:val="20"/>
        </w:rPr>
        <w:t>”) contract with the U.S. Navy, a mid-altitude ISR contract with the U.S. Army, a law enforcement contract with the state of Florida and a military contract for a multi-purpose Gulfstream aircraft. Tenax believes there are many opportunities for it to expand into special mission areas that it does not currently serve, such as firefighting helicopters, adversary simulation, in-flight refueling aircraft, military personnel transport, maritime patrol, range-clearing, Casualty Evacuation/Medical Evacuation and unmanned special mission aircraft.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expects to augment its internal growth through acquisitions. Tenax maintains an active pipeline of strategic acquisition opportunities with the goal of boosting growth while reducing customer/contract concentration and adding scale to Tenax’s existing business. Tenax is focused on acquiring businesses that employ different aircraft types or roles in Tenax’s current markets, similar aircraft types or roles in foreign markets, and bringing modification and other purchased services in-house. Following completion of the merger, Tenax will also focus on expanding AIR’s presence in aerospace parts and components manufacturing.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Tenax’s customers are part of the U.S. government, including the U.S. Army’s Geospatial Center, the U.S. Forest Service, the Department of Justice, the Federal Bureau of Investigation, the U.S. Navy and the intelligence community. Other customers include foreign governments, state and local governments and commercial customers. Tenax currently has only one significant foreign government customer, a Five Eyes partner nation, but Tenax believes there are many opportunities for Tenax to develop new international customers for its products and services. Tenax has long-standing customer relationships. The average tenure of Tenax’s six largest customers is about 14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first quarter of 2026, Tenax’s largest customer accounted for 27% of Tenax’s revenues. However, with the U.S. Navy’s CAS-SOJ contract and other new business coming online in 2026, customer concentration is expected to continue to decline in 2026 and thereafter.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of total revenue by customer is shown in the following chart:</w:t>
      </w:r>
    </w:p>
    <w:tbl>
      <w:tblPr>
        <w:tblW w:w="6113" w:type="dxa"/>
        <w:jc w:val="left"/>
        <w:tblInd w:w="0" w:type="dxa"/>
        <w:tblLayout w:type="fixed"/>
        <w:tblCellMar>
          <w:top w:w="0" w:type="dxa"/>
          <w:left w:w="0" w:type="dxa"/>
          <w:bottom w:w="0" w:type="dxa"/>
          <w:right w:w="0" w:type="dxa"/>
        </w:tblCellMar>
      </w:tblPr>
      <w:tblGrid>
        <w:gridCol w:w="2911"/>
        <w:gridCol w:w="146"/>
        <w:gridCol w:w="845"/>
        <w:gridCol w:w="700"/>
        <w:gridCol w:w="146"/>
        <w:gridCol w:w="697"/>
        <w:gridCol w:w="668"/>
      </w:tblGrid>
      <w:tr>
        <w:trPr/>
        <w:tc>
          <w:tcPr>
            <w:tcW w:w="29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of </w:t>
              <w:br/>
              <w:t xml:space="preserve">First Quarter </w:t>
              <w:br/>
              <w:t xml:space="preserve">2026 </w:t>
              <w:br/>
              <w:t>Revenue</w:t>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of </w:t>
              <w:br/>
              <w:t xml:space="preserve">Fiscal Year </w:t>
              <w:br/>
              <w:t xml:space="preserve">2025 </w:t>
              <w:br/>
              <w:t>Revenue</w:t>
            </w:r>
          </w:p>
        </w:tc>
      </w:tr>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Army Geospatial Center</w:t>
            </w:r>
          </w:p>
        </w:tc>
        <w:tc>
          <w:tcPr>
            <w:tcW w:w="146"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70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697"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668"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Forest Service</w:t>
            </w:r>
          </w:p>
        </w:tc>
        <w:tc>
          <w:tcPr>
            <w:tcW w:w="146" w:type="dxa"/>
            <w:tcBorders/>
          </w:tcPr>
          <w:p>
            <w:pPr>
              <w:pStyle w:val="TableContents"/>
              <w:bidi w:val="0"/>
              <w:spacing w:before="0" w:after="283"/>
              <w:jc w:val="left"/>
              <w:rPr/>
            </w:pPr>
            <w:r>
              <w:rPr/>
              <w:t> </w:t>
            </w:r>
          </w:p>
        </w:tc>
        <w:tc>
          <w:tcPr>
            <w:tcW w:w="84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70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697"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66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Navy CAS-SOJ</w:t>
            </w:r>
          </w:p>
        </w:tc>
        <w:tc>
          <w:tcPr>
            <w:tcW w:w="146"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70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697"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68"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Five Eyes Partner Nation</w:t>
            </w:r>
          </w:p>
        </w:tc>
        <w:tc>
          <w:tcPr>
            <w:tcW w:w="146" w:type="dxa"/>
            <w:tcBorders/>
          </w:tcPr>
          <w:p>
            <w:pPr>
              <w:pStyle w:val="TableContents"/>
              <w:bidi w:val="0"/>
              <w:spacing w:before="0" w:after="283"/>
              <w:jc w:val="left"/>
              <w:rPr/>
            </w:pPr>
            <w:r>
              <w:rPr/>
              <w:t> </w:t>
            </w:r>
          </w:p>
        </w:tc>
        <w:tc>
          <w:tcPr>
            <w:tcW w:w="84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70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697"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66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Army mid-range ISR</w:t>
            </w:r>
          </w:p>
        </w:tc>
        <w:tc>
          <w:tcPr>
            <w:tcW w:w="146"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70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697"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668"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Air Force Training</w:t>
            </w:r>
          </w:p>
        </w:tc>
        <w:tc>
          <w:tcPr>
            <w:tcW w:w="146" w:type="dxa"/>
            <w:tcBorders/>
          </w:tcPr>
          <w:p>
            <w:pPr>
              <w:pStyle w:val="TableContents"/>
              <w:bidi w:val="0"/>
              <w:spacing w:before="0" w:after="283"/>
              <w:jc w:val="left"/>
              <w:rPr/>
            </w:pPr>
            <w:r>
              <w:rPr/>
              <w:t> </w:t>
            </w:r>
          </w:p>
        </w:tc>
        <w:tc>
          <w:tcPr>
            <w:tcW w:w="84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70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697"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66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in Tenax’s markets include small specialty operators, mid-sized services firms and large defense contractors. Small specialty operators mostly only offer one or two airframe options, which often are no longer in production, and respond to government RFP’s after they have been issued rather than helping shape requirements. Mid-size services firms and large defense contractors prefer offering services or products rather than COCO aviation operations. Tenax’s business model seeks to bridge the gap, combining the focus of a specialist with the ability to help shape solutions to a customer’s requirements and the ability and willingness to acquire expensive assets and accept operating risk.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Aviation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maintains and operates a fleet of special mission aircraft that it believes is newer, on average, than many competitors’ fleets and includes mostly OEM-supported aircraft that are less than twenty years old with good secondary-market liquidity. As of June 30, 2026, Tenax’s fleet included 43 aircraft. Tenax avoids purchasing aircraft more than twenty years old to ensure up-to-date systems, high operational readiness and readily available parts. Tenax directly maintains or manages maintenance for the majority of its fleet and performs or oversees modifications and sensor integration through DST and its trusted partner network.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airframe types and typical mission roles in Tenax’s fleet as of June 30, 2026:</w:t>
      </w:r>
    </w:p>
    <w:tbl>
      <w:tblPr>
        <w:tblW w:w="10205" w:type="dxa"/>
        <w:jc w:val="left"/>
        <w:tblInd w:w="0" w:type="dxa"/>
        <w:tblLayout w:type="fixed"/>
        <w:tblCellMar>
          <w:top w:w="0" w:type="dxa"/>
          <w:left w:w="0" w:type="dxa"/>
          <w:bottom w:w="0" w:type="dxa"/>
          <w:right w:w="0" w:type="dxa"/>
        </w:tblCellMar>
      </w:tblPr>
      <w:tblGrid>
        <w:gridCol w:w="2772"/>
        <w:gridCol w:w="146"/>
        <w:gridCol w:w="781"/>
        <w:gridCol w:w="146"/>
        <w:gridCol w:w="6360"/>
      </w:tblGrid>
      <w:tr>
        <w:trPr/>
        <w:tc>
          <w:tcPr>
            <w:tcW w:w="27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Airframe Type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Count</w:t>
            </w:r>
          </w:p>
        </w:tc>
        <w:tc>
          <w:tcPr>
            <w:tcW w:w="146" w:type="dxa"/>
            <w:tcBorders/>
            <w:vAlign w:val="bottom"/>
          </w:tcPr>
          <w:p>
            <w:pPr>
              <w:pStyle w:val="TableContents"/>
              <w:bidi w:val="0"/>
              <w:spacing w:before="0" w:after="283"/>
              <w:jc w:val="left"/>
              <w:rPr/>
            </w:pPr>
            <w:r>
              <w:rPr/>
              <w:t> </w:t>
            </w:r>
          </w:p>
        </w:tc>
        <w:tc>
          <w:tcPr>
            <w:tcW w:w="63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Typical Mission Roles</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B200GT/250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Forest Service ASM; Airborne Fire Management</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350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Precision mapping; maritime patrol/border surveillance; training and testing</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B200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Firefighting Air Attack and ASM fill-in</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1900D</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U.S. transportation and multi-mission support</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Cessna Grand Caravan 208B</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Sensor Training and testing</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Cessna CJ2</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Sensor Training and Testing</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Gulfstream GIV</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Aerial Survey and Mapping</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Gulfstream GV</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High-altitude LiDAR mapping and multi-mission ISR</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Challenger 604</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ISR with SIGINT and EO/IR</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Challenger 650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ISR with SIGINT and EO/IR</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BD-700-1A10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Stand-off Jamming and Navy Training</w:t>
            </w:r>
          </w:p>
        </w:tc>
      </w:tr>
      <w:tr>
        <w:trPr/>
        <w:tc>
          <w:tcPr>
            <w:tcW w:w="277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Gulfstream 550</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63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VIP transport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typically acquires aircraft only after a contract is awarded and begins collecting monthly fees upon award, including during the modification period. Tenax’s customers typically pay directly for modification costs or Tenax is reimbursed through monthly payments in the first one to two years of the contract. This mitigates the risk of Tenax not being fully reimbursed for modification costs if a contract ends earlier than expected. Tenax identifies contract opportunities through agency access and procurement tools and engages customers early to help ensure the best solution is available to meet the customer’s requirements. Tenax’s contracts are all firm fixed-price contracts with inflation escalators. Tenax’s costs are primarily made up of labor, aircraft parts, other maintenance costs and depreciation. Tenax typically does not pay for fuel to operate its aircraft. Very little of what Tenax buys is sourced overseas, so tariffs and currency exchange rates have not and should not in the future materially affect Tenax’s profitability. As a result, Tenax’s costs do not vary significantly over the short term and have tended to increase at or near U.S. core inflation rates. In the past, Tenax’s contract price escalators have adequately covered increases in costs over time. Tenax sources firm fixed-price bids from its vendors and develops pricing that reflects aircraft and modification costs, operational costs and complexity, contract length and risk factors associated with fulfilment, early termination and recompetition. As contracts approach renewal or termination, Tenax prepares redeployment or de-modification plans and disposes of aircraft if redeployment within a reasonable time is unlikely.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Tenax’s business is not seasonal. The only part of Tenax’s business that is seasonal is Tenax’s U.S. Forest Service business, which is stronger in the second and third quarters than the first and fourth quarters. Various other factors can affect the distribution of Tenax’s revenue between accounting periods, including the timing of awards, customer acceptance of products and services, contract phase-ins, contract completions and the availability of customer funding. Weather and natural phenomena can also temporarily affect the performance of its services and timing of its revenues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government’s fiscal year ends on September 30th. U.S. government agencies may award extra task orders or complete other contract actions in the month or two leading up to the end of its fiscal year in order to avoid the loss of unexpended fiscal year funds, which may favorably affect Tenax’s third fiscal quarter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Aviation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operations are subject to U.S. civil aviation regulations, including the FAA, military and other airworthiness authorities for aircraft operations, maintenance and modifications. Tenax develops and holds supplemental type certificates and executes integration and modification work internally and through approved third parties. These approvals and certifications constitute substantive barriers to entry and are essential to Tenax’s ability to provide fully configured, mission-ready aircraft.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Procurement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government procurement requirements and rules also shape Tenax’s business. Tenax must comply with a range of federal laws and regulations governing the formation, administration and performance of government contracts. Key regulations include the Federal Acquisition Regulations, Defense Federal Acquisition Regulations, the Truth in Negotiations Act, the Procurement Integrity Act, the Civil False Claims Act and Cost Accounting Standards. Tenax is subject to periodic government audits of its costs, internal controls and cybersecurity practices, and must ensure that costs charged to government contracts are properly classified and allocated. Tenax must maintain facility clearances and security clearances for many of its personnel in order to perform work on some of Tenax’s contracts.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Import/Export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extensive import and export controls administered by the U.S. government. The U.S. Department of Commerce and the U.S. Department of State regulate the export, re-export and re-transfer of controlled goods and technologies, and may require Tenax to obtain authorization before exporting certain items, including aircraft, engines, parts, components, avionics, radars and other sensors. Applicable export control laws include the Arms Export Control Act, the International Traffic in Arms Regulations and the Export Administration Regulations, which restrict the export of defense and dual-use products and technical data to certain countries. The U.S. Department of Homeland Security, through U.S. Customs and Border Protection, enforces regulations governing the import of aviation-related products into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also comply with trade sanctions laws and regulations administered by OFAC. Tenax is prohibited from transacting with individuals and entities appearing on OFAC’s “Specially Designated Nationals List” and must monitor its operations, customers and counterparties for compliance with applicable sanctions regimes.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Anti-Corruption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operations are subject to anti-corruption laws in the United States and in the foreign jurisdictions in which it does business. These include the Foreign Corrupt Practices Act, the U.S. domestic bribery statute and the U.S. Travel Act, among others. These laws generally prohibit Tenax, its employees and its intermediaries from authorizing or providing improper payments or anything of value to government officials or other people in order to obtain or retain business or secure a business advantage.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Environmental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federal, state and local environmental laws and regulations governing the discharge and emission of substances into the environment, the disposal of hazardous waste and the remediation of contaminants. Tenax is also subject to workplace safety requirements under the Occupational Safety and Health Act of 1970, including standards for the handling of hazardous and toxic substances and the treatment, disposal or storage of hazardous waste.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with the U.S. government is typically funded with O&amp;M funds and, therefore, must be structured as a one-year award with option years, rather than multi-year awards, which are prohibited under O&amp;M funding rules. In addition, U.S. government departments and agencies retain broad rights under all U.S. government contracts to terminate on sixty days’ notice, with or without cause. The single-year funding commitment and sixty-day right to terminate present risks to Tenax. Tenax believes it is adequately compensated for those risks with its pricing and asset acquisition and other risk mitigation strategies. Tenax’s role is usually as a prime contractor, but it also partners as a subcontractor to prime contractors.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concentrates on enduring missions that require significant airframe modification and sustained operational support, which Tenax believes increases the probability that option years will be exercised. Since 2004, Tenax has won twenty-three out of twenty-four recompetes and, when a mission was continuing, there have been only two instances of a non-exercised option year. Tenax’s contract portfolio includes many long term contracts such as the U.S. Forest Service aerial firefighting mission which Tenax has supported for nearly sixteen years and has successfully recompeted five times. Tenax has supported the U.S. Army’s HR3D program for nearly nine years while growing the program’s scope and winning multiple recompetes.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Human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Tenax employed approximately 245 employees.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Talent Acquisition and Development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approach to human capital emphasizes hiring and retaining exceptional talent. Tenax invests in training and professional development across roles, including pilots, maintenance technicians, engineers and program managers, enabling it to source and prepare highly qualified personnel tailored to specific mission requirements. Tenax’s core values are safety, quality, teamwork, creativity and transparency, and it operates with a flat organizational structure and rapid decision-making culture designed to execute missions efficiently under demanding conditions and time constraints.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Health and Safety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Safety is a priority and is embedded in Tenax’s operations. Tenax emphasizes disciplined maintenance and operational readiness and assigns qualified airframe and powerplant technicians and maintenance teams to meet mission requirements. Tenax has long term, tested relationships with most of its partners and vendors to ensure timely and error-free execution under its contracts.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principal executive office is located at 400 West Parkway Place, Suite 201, Ridgeland, Mississippi 39157. Tenax maintains additional facilities and offices, including offices in Arlington, Virginia, and Hagerstown, Maryland, and hangars located in Arizona, California, Georgia, Idaho, Maryland, Mississippi and Oregon.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may become involved in legal proceedings, including, but not limited to, matters in connection with its contracts, employment matters and regulatory investigations and inquiries, in the ordinary course of its business. Although Tenax is unable to predict with certainty the eventual outcome of any litigation, regulatory investigation or inquiry, it does not currently believe, based on information currently available, that resolution of its current and any threatened legal proceedings will, individually or in the aggregate, have a material adverse effect on its competitive position, results of operation, financial condition or liquidity. Given the inherent unpredictability of these types of proceedings, however, it is possible that future adverse outcomes could have a material adverse effect on Tenax’s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1" w:name="T9971"/>
      <w:bookmarkEnd w:id="71"/>
      <w:r>
        <w:rPr>
          <w:rFonts w:ascii="Times New Roman PS Std;serif" w:hAnsi="Times New Roman PS Std;serif"/>
          <w:b/>
          <w:i w:val="false"/>
          <w:caps w:val="false"/>
          <w:smallCaps w:val="false"/>
          <w:sz w:val="20"/>
        </w:rPr>
        <w:t xml:space="preserve">TENAX MANAGEMENT’S DISCUSSION AND ANALYSIS OF FINANCIAL </w:t>
        <w:br/>
        <w:t xml:space="preserve">CONDITION AND RESULTS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of our financial condition and results of operations should be read in conjunction with the section entitled “Unaudited Pro Forma Condensed Combined Financial Statements” beginning on page 93 of this proxy statement/prospectus, Tenax’s audited consolidated financial statements for the years ended December 31, 2025, 2024 and 2023 and the notes to those statements beginning on page F-63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and Tenax’s unaudited condensed consolidated financial statements for the three months ended March 31, 2026 and 2025 and the notes to those statements beginning on page F-56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regarding Tenax’s plans, objectives, expectations and intentions. Tenax’s future results and financial condition may differ materially from those currently anticipated as a result of the factors described under sections entitled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32 of this proxy statement/prospectus and “Risk Factors” beginning on page 16 of this proxy statement/prospectus. For purposes of this section of this proxy statement/prospectus only, all references to “the Company”, “we”, “us” and “our” refer to Tenax prior to the consummation of the merger and to the combined company following the consummation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of special mission aircraft and related products and services sold primarily to the U.S. and other governments, either directly or through prime contractors. Tenax was founded in 2001 and today operates with headquarters in Ridgeland, Mississippi, with additional operations and facilities in Arlington, Virginia, and Hagerstown, Maryland. In January 2018, Tenax was acquired by Thomas Foley, Taran Bakker and other investors organized by NTC Group, an investment and management services company based in Greenwich, Connecticut.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does not currently file reports with the SEC. Tenax’s Internet address is </w:t>
      </w:r>
      <w:r>
        <w:rPr>
          <w:rFonts w:ascii="Times New Roman PS Std;serif" w:hAnsi="Times New Roman PS Std;serif"/>
          <w:b w:val="false"/>
          <w:i/>
          <w:caps w:val="false"/>
          <w:smallCaps w:val="false"/>
          <w:sz w:val="20"/>
        </w:rPr>
        <w:t>www.tenaxaerospace.com.</w:t>
      </w:r>
      <w:r>
        <w:rPr>
          <w:rFonts w:ascii="Times New Roman PS Std;serif" w:hAnsi="Times New Roman PS Std;serif"/>
          <w:b w:val="false"/>
          <w:i w:val="false"/>
          <w:caps w:val="false"/>
          <w:smallCaps w:val="false"/>
          <w:sz w:val="20"/>
        </w:rPr>
        <w:t xml:space="preserve"> Information contained on, or that can be accessed through, Tenax’s website is not incorporated by reference into this proxy statement/prospectus, and you should not consider information on Tenax’s website to be part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Verticals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Aerial Firefighting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serves as the prime contractor to the U.S. Forest Service for the ASM program. The ASM program includes a fleet of 16 aircraft that deliver approximately 3,900 flight hours annually and maintain operational readiness of over 99 percent as of March 31, 2026.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EO/IR support. These programs are structured with different levels of support for the customer, including contracts where Tenax supplies only the aircraft and other programs where Tenax supplies the aircraft, pilots, maintenance and sensor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Mapping and Multi-Mission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operates aircraft that combine high-altitude mapping and ISR capabilities. Under the U.S. Army Geospatial Center’s HR3D program, Tenax provides aircraft to various U.S. Combatant Commands such as AFRICOM and INDOPACOM. These aircraft carry various combinations of high-altitude LiDAR sensors, foliage-penetrating sensors, high-definition photographic sensors, EO/IR sensors with full motion video and SIGINT sensors. These aircraft are capable of mapping up to 1,000 square miles per day. While mapping is the primary mission, these aircraft are configured to fulfill ISR roles. Under the HR3D program, Tenax provides pilots and maintenance personnel under COCO arrangements, including in locations outside the continental U.S. Tenax also provides aircraft for the FBI Critical Response Group to support global counterterrorism missions and aircraft for the U.S. Navy’s continental U.S.-based training and transportation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Intelligence, Surveillance and Reconnaissance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conducts SIGINT, Electronic Intelligence, Electronic Warfare and Image Intelligence (or EO/IR) missions for certain of its customers. Tenax provides aircraft for these purposes to the U.S. government and to a Five Eyes partner nation, the latter aircraft configured with SIGINT sensors and EO/IR full motion video with Tenax providing flight operations and maintenance support. Tenax also supports maritime patrol and border surveillance for the Florida Department of Law Enforcement by providing aircraft equipped with EO/IR, radar, Starlink communications, a proprietary mission control system and special law enforcement radios. Tenax also provides the U.S. Army with two aircraft for its medium-altitude ISR mission focused on the detection and capture of foreign intelligence personnel and other adversaries.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Sensor Integration, Modification, Testing and Training and Logistics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Developments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Aircraft Fleet Optimization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when the Company held an aircraft for sale it did not reclassify it as an asset held for sale. However, in the first quarter of 2026, the Company adopted compliance with ASC Topic 205-20 and ASC Topic 360-10, under which long-lived assets are classified as held for sale once they meet specified criteria, including management’s commitment to a plan to sell the assets and the immediate availability of the assets for sale. Accordingly, during the three months ended March 31, 2026, we reclassified three aircraft that met all criteria to perform a reclassification from property and equipment, net, to current “Assets held for sale” on our condensed consolidated balance sheet. As of March 31, 2026, these assets had an aggregate carrying amount of $27,077,828, compared to $0 as of December 31, 2025. As of June 30, 2026, the remaining amount of assets held for sale is $900,000, following the sale of two of the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reclassification accounting, we measured these assets at the lower of their carrying amount or fair value less costs to sell. Because the estimated fair value less costs to sell exceeded their carrying value, no impairment charges were recognized during the three months ended March 31, 2026. Management evaluated this planned disposition and determined that it does not represent a strategic shift with a major effect on our operations or financial results. Consequently, the transaction does not qualify as a discontinued operation; the historical operating results of these aircraft will remain within continuing operations through the date of disposal.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Recapitalization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Company purchased the equity held by Bain Capital Management, a credit and equity provider behind the acquisition of the Company in 2018. To provide the funding for the equity purchase, we amended our Second Amended and Restated First Lien Credit Agreement (the “</w:t>
      </w:r>
      <w:r>
        <w:rPr>
          <w:rFonts w:ascii="Times New Roman PS Std;serif" w:hAnsi="Times New Roman PS Std;serif"/>
          <w:b w:val="false"/>
          <w:i w:val="false"/>
          <w:caps w:val="false"/>
          <w:smallCaps w:val="false"/>
          <w:sz w:val="20"/>
          <w:u w:val="single"/>
        </w:rPr>
        <w:t>First Lien Agreement</w:t>
      </w:r>
      <w:r>
        <w:rPr>
          <w:rFonts w:ascii="Times New Roman PS Std;serif" w:hAnsi="Times New Roman PS Std;serif"/>
          <w:b w:val="false"/>
          <w:i w:val="false"/>
          <w:caps w:val="false"/>
          <w:smallCaps w:val="false"/>
          <w:sz w:val="20"/>
        </w:rPr>
        <w:t>”) to provide for a $200,000,000 term loan, a $40,000,000 Delayed Draw Term Loan (“</w:t>
      </w:r>
      <w:r>
        <w:rPr>
          <w:rFonts w:ascii="Times New Roman PS Std;serif" w:hAnsi="Times New Roman PS Std;serif"/>
          <w:b w:val="false"/>
          <w:i w:val="false"/>
          <w:caps w:val="false"/>
          <w:smallCaps w:val="false"/>
          <w:sz w:val="20"/>
          <w:u w:val="single"/>
        </w:rPr>
        <w:t>DDTL</w:t>
      </w:r>
      <w:r>
        <w:rPr>
          <w:rFonts w:ascii="Times New Roman PS Std;serif" w:hAnsi="Times New Roman PS Std;serif"/>
          <w:b w:val="false"/>
          <w:i w:val="false"/>
          <w:caps w:val="false"/>
          <w:smallCaps w:val="false"/>
          <w:sz w:val="20"/>
        </w:rPr>
        <w:t>”) #1, a $60,000,000 DDTL #2 and a $30,000,000 revolving line of credit. As of March 31, 2026, the outstanding balance on our revolving credit line was $6,530,720 (compared to $6,650,000 as of December 31, 2025), with a variable interest rate of 7.02%, and we drew $48,057,153 under DDTL #2 during the quarter. The amended First Lien Agreement matures at the earliest of January 7, 2031, twelve months prior to the maturity of the Subordinated Term Loan, or six months prior to the maturity of the Second Lien Agreement. In addition, the Company entered into a new Second Lien Credit Agreement (the “</w:t>
      </w:r>
      <w:r>
        <w:rPr>
          <w:rFonts w:ascii="Times New Roman PS Std;serif" w:hAnsi="Times New Roman PS Std;serif"/>
          <w:b w:val="false"/>
          <w:i w:val="false"/>
          <w:caps w:val="false"/>
          <w:smallCaps w:val="false"/>
          <w:sz w:val="20"/>
          <w:u w:val="single"/>
        </w:rPr>
        <w:t>Second Lien Agreement</w:t>
      </w:r>
      <w:r>
        <w:rPr>
          <w:rFonts w:ascii="Times New Roman PS Std;serif" w:hAnsi="Times New Roman PS Std;serif"/>
          <w:b w:val="false"/>
          <w:i w:val="false"/>
          <w:caps w:val="false"/>
          <w:smallCaps w:val="false"/>
          <w:sz w:val="20"/>
        </w:rPr>
        <w:t>”) with an investment firm, securing $30,000,000 of debt maturing on July 7, 2031, with principal repayment due in full at maturity.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on January 7, 2026, the Subordinated Term Loan (which originally carried a January 4, 2024, maturity) was refinanced with a different lender, extending its maturity date to January 7, 2032, with the principal due at maturity. For the three months ended March 31, 2026, capitalized interest was $289,932, compared to $0 for the three months ended March 31, 2025. Following the refinancing, the outstanding balance on the Subordinated Term Loan increased to $40,125,791 as of March 31, 2026, from $29,471,221 as of December 31, 2025, while the interest rate decreased to 15.00% at March 31, 2026, from 18.09% as of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revenue recognition and the valuation of long-lived assets. Changes in the status of certain facts or circumstances could result in material changes to the estimates used in the preparation of the financial statements and actual results could differ from the estimates and assumptions. We believe that the following discussion addresses our critical accounting policies which require management’s most difficult, subjective and complex judgments, often as a result of the need to make estimates about the effect of matters that are inherently uncertain.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provider of special mission aircraft and related services to U.S. government and commercial customers. As a result of its business model, the Company derives revenue from both contracts for services and products and aircraft leasing arrangements, which are accounted for under Topic 606, and ASC Topic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842</w:t>
      </w:r>
      <w:r>
        <w:rPr>
          <w:rFonts w:ascii="Times New Roman PS Std;serif" w:hAnsi="Times New Roman PS Std;serif"/>
          <w:b w:val="false"/>
          <w:i w:val="false"/>
          <w:caps w:val="false"/>
          <w:smallCaps w:val="false"/>
          <w:sz w:val="20"/>
        </w:rPr>
        <w:t>”),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recognizes service and product income when we satisfy performance obligations under the terms of our contracts, and control of our products is transferred to our customers in an amount that reflects the consideration we expect to receive from our customers in exchange for those products. This process involves identifying the customer contract,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Tenax considers a performance obligation satisfied once we have transferred control of a good or by transferring control over a product to a customer, meaning the customer has the ability to use and obtain the benefit of the product.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 is largely related to products or services performed under government contracts. Service and product income is recognized over time. The Company’s wholly owned subsidiary, DST, provides specially modified aircraft for aerial sensor testing, training and live operations. DST also provides unmanned aircraft systems and maritime services and logistical support for these and other special mission aircraft operations. Additionally, DST provides aircraft modification services to customer aircraft. Because DST has the substantive right of substitution, contracts with DST’s customers do not represent leases under Topic 842. Revenues are recognized in accordance with Topic 606. For performance obligations to provide services that are satisfied over time, the Company recognizes revenue based on the right to invoice method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based on the right to bill the customer), which corresponds with, and thereby best depicts, the transfer of control to the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contracts with embedded leases, we have elected the practical expedient to not separate lease and non-lease components described in Note 1(n) “Leases-Lessee Arrangements” in the notes to our condensed consolidated financial statements beginning on page F-67 of this proxy statement/prospectus for operating leases that meet certain conditions. These services are principally performed under fixed-price contracts. Revenue on fixed-price service contracts is generally recognized in accordance with the performance obligations over the contract service period. For our sales-type leases, the lease components are accounted for under Topic 842 and the non-lease components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xml:space="preserve">, modification, operations and maintenance services) are accounted for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606. For our contracts with multiple performance obligations, the Company allocates the transaction price to each performance obligation based on the relative standalone selling price of the product or service underlying each performance obligation. The standalone selling price represents the amount for which the Company would sell the product or service to a customer on a standalone basis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not sold as a bundle with any other products or services). These government contracts, of which the Company is the subcontractor, typically prices contract deliverables based on the Company’s estimated or actual costs plus a reasonable profit margin. As a result, the standalone selling prices of the products and services in these contracts are typically equal to the selling prices stated in the contract, thereby eliminating the need to allocate (or reallocate) the transaction price to multiple performance obligations. For the performance obligations to provide services that are satisfied over time, the Company recognizes revenue either on a straight-line basis, the percentage of completion cost-to-cost method or based on the right-to-invoice method, depending on which method best depicts transfer of control to the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include all direct material and labor costs and those indirect costs related to contract performance, such as indirect labor, supplies, tools and repairs. Selling, general and administrative costs are charged to expense as incurred. Provisions for estimated losses on uncompleted contracts are made in the period in which such losses are determined. Changes in job performance, job conditions, estimated profitability and final contract settlements may result in revisions to cost and income and are recognized in the period in which such revisions may be determined.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contracts vary in length and often include a base-year service period followed by option-years that may be exercised annually. For base-year service period contracts, assets and liabilities are classified as current because the contract related items in the consolidated balance sheets have realization and liquidation periods of less than one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uncertainties in estimating costs and revenues, it is at least reasonably possible that the estimates used could change in the near term. See Note 1(k) “Revenue Recognition” in the notes to Tenax’s condensed consolidated financial statements beginning on page F-65 of this proxy statement/prospectus for additional information regarding Tenax’s revenue recognition policies.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Valuation of Long-Lived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evaluates the recoverability of the carrying value of long-lived assets, such as property and equipment and purchased intangible assets subject to amortization, whenever events or circumstances indicate the carrying amount may not be recoverable. Conditions that may indicate recoverability include, but are not limited to, a significant adverse change in customer demand or business climate that could affect the value of an asset, or an adverse action or assessment by a regulator.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 See Note 1(g) “Long Lived Asset Impairment” in the notes to Tenax’s condensed consolidated financial statements beginning on page F-64 of this proxy statement/prospectus for additional information regarding Tenax’s valuation of long-lived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Ending March 31, 2026 and March 31,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7799" w:type="dxa"/>
        <w:jc w:val="left"/>
        <w:tblInd w:w="0" w:type="dxa"/>
        <w:tblLayout w:type="fixed"/>
        <w:tblCellMar>
          <w:top w:w="0" w:type="dxa"/>
          <w:left w:w="0" w:type="dxa"/>
          <w:bottom w:w="0" w:type="dxa"/>
          <w:right w:w="0" w:type="dxa"/>
        </w:tblCellMar>
      </w:tblPr>
      <w:tblGrid>
        <w:gridCol w:w="3586"/>
        <w:gridCol w:w="146"/>
        <w:gridCol w:w="301"/>
        <w:gridCol w:w="1396"/>
        <w:gridCol w:w="241"/>
        <w:gridCol w:w="146"/>
        <w:gridCol w:w="301"/>
        <w:gridCol w:w="1396"/>
        <w:gridCol w:w="286"/>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41,254,423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33,036,348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16,989,401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14,485,165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24,265,022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18,551,183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6,274,490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4,435,449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780,351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7,506,987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6,716,821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16,758,035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11,834,362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(8,011,166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(5,032,776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(457,415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(7,821,726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(5,490,191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8,936,309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6,344,171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714" w:type="dxa"/>
        <w:jc w:val="left"/>
        <w:tblInd w:w="0" w:type="dxa"/>
        <w:tblLayout w:type="fixed"/>
        <w:tblCellMar>
          <w:top w:w="0" w:type="dxa"/>
          <w:left w:w="0" w:type="dxa"/>
          <w:bottom w:w="0" w:type="dxa"/>
          <w:right w:w="0" w:type="dxa"/>
        </w:tblCellMar>
      </w:tblPr>
      <w:tblGrid>
        <w:gridCol w:w="2836"/>
        <w:gridCol w:w="146"/>
        <w:gridCol w:w="301"/>
        <w:gridCol w:w="1396"/>
        <w:gridCol w:w="146"/>
        <w:gridCol w:w="301"/>
        <w:gridCol w:w="1396"/>
        <w:gridCol w:w="146"/>
        <w:gridCol w:w="301"/>
        <w:gridCol w:w="1261"/>
        <w:gridCol w:w="241"/>
        <w:gridCol w:w="146"/>
        <w:gridCol w:w="706"/>
        <w:gridCol w:w="391"/>
      </w:tblGrid>
      <w:tr>
        <w:trPr/>
        <w:tc>
          <w:tcPr>
            <w:tcW w:w="283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4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Quarter Ended March 31,</w:t>
            </w:r>
          </w:p>
        </w:tc>
        <w:tc>
          <w:tcPr>
            <w:tcW w:w="146" w:type="dxa"/>
            <w:tcBorders/>
            <w:vAlign w:val="bottom"/>
          </w:tcPr>
          <w:p>
            <w:pPr>
              <w:pStyle w:val="TableContents"/>
              <w:bidi w:val="0"/>
              <w:spacing w:before="0" w:after="283"/>
              <w:jc w:val="left"/>
              <w:rPr/>
            </w:pPr>
            <w:r>
              <w:rPr/>
              <w:t> </w:t>
            </w:r>
          </w:p>
        </w:tc>
        <w:tc>
          <w:tcPr>
            <w:tcW w:w="180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w:t>
              <w:br/>
              <w:t>Increase/</w:t>
              <w:br/>
              <w:t>(Decrease)</w:t>
            </w:r>
          </w:p>
        </w:tc>
        <w:tc>
          <w:tcPr>
            <w:tcW w:w="146" w:type="dxa"/>
            <w:vMerge w:val="restart"/>
            <w:tcBorders/>
            <w:vAlign w:val="bottom"/>
          </w:tcPr>
          <w:p>
            <w:pPr>
              <w:pStyle w:val="TableContents"/>
              <w:bidi w:val="0"/>
              <w:spacing w:before="0" w:after="283"/>
              <w:jc w:val="left"/>
              <w:rPr/>
            </w:pPr>
            <w:r>
              <w:rPr/>
              <w:t> </w:t>
            </w:r>
          </w:p>
        </w:tc>
        <w:tc>
          <w:tcPr>
            <w:tcW w:w="109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8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0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97" w:type="dxa"/>
            <w:gridSpan w:val="2"/>
            <w:vMerge w:val="continue"/>
            <w:tcBorders/>
            <w:vAlign w:val="bottom"/>
          </w:tcPr>
          <w:p>
            <w:pPr>
              <w:pStyle w:val="Normal"/>
              <w:bidi w:val="0"/>
              <w:jc w:val="left"/>
              <w:rPr/>
            </w:pPr>
            <w:r>
              <w:rPr/>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24,806,423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10,536,204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14,270,219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14,404,713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20,463,836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(6,059,123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1,549,706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1,399,042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493,581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637,266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(143,685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41,254,423</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33,036,348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8,218,075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24.9</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$8.2 million, or 24.9%, for the quarter ended March 31, 2026 as compared to the quarter ended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in the first quarter of 2026 compared to 2025, primarily due to the impact of new contracts and the successful recompete of existing programs, partially offset by a decline in modification income. The main drivers for revenue growth were the addition of a new U.S. Navy contract with prime contractor ATAC, a Textron company, a new contract with the Florida Department of Law Enforcement, a new U.S. Army contract with prime contractor HII Mission Technologies Corp. and the solid performance of Tenax’s legacy programs. In contrast, service and product revenue decreased, reflecting the completion of modifications on two Gulfstream GV aircraft, partially offset by contributions from newly awarded ISR contracts with a Five Eyes partner nation and the U.S. Army.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9142" w:type="dxa"/>
        <w:jc w:val="left"/>
        <w:tblInd w:w="0" w:type="dxa"/>
        <w:tblLayout w:type="fixed"/>
        <w:tblCellMar>
          <w:top w:w="0" w:type="dxa"/>
          <w:left w:w="0" w:type="dxa"/>
          <w:bottom w:w="0" w:type="dxa"/>
          <w:right w:w="0" w:type="dxa"/>
        </w:tblCellMar>
      </w:tblPr>
      <w:tblGrid>
        <w:gridCol w:w="2596"/>
        <w:gridCol w:w="146"/>
        <w:gridCol w:w="301"/>
        <w:gridCol w:w="1396"/>
        <w:gridCol w:w="146"/>
        <w:gridCol w:w="301"/>
        <w:gridCol w:w="1396"/>
        <w:gridCol w:w="146"/>
        <w:gridCol w:w="301"/>
        <w:gridCol w:w="1261"/>
        <w:gridCol w:w="146"/>
        <w:gridCol w:w="603"/>
        <w:gridCol w:w="403"/>
      </w:tblGrid>
      <w:tr>
        <w:trPr/>
        <w:tc>
          <w:tcPr>
            <w:tcW w:w="259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4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Quarter Ended March 31,</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bottom"/>
          </w:tcPr>
          <w:p>
            <w:pPr>
              <w:pStyle w:val="TableContents"/>
              <w:bidi w:val="0"/>
              <w:spacing w:before="0" w:after="283"/>
              <w:jc w:val="left"/>
              <w:rPr/>
            </w:pPr>
            <w:r>
              <w:rPr/>
              <w:t> </w:t>
            </w:r>
          </w:p>
        </w:tc>
        <w:tc>
          <w:tcPr>
            <w:tcW w:w="100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br/>
              <w:t>Change</w:t>
            </w:r>
          </w:p>
        </w:tc>
      </w:tr>
      <w:tr>
        <w:trPr/>
        <w:tc>
          <w:tcPr>
            <w:tcW w:w="25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06" w:type="dxa"/>
            <w:gridSpan w:val="2"/>
            <w:vMerge w:val="continue"/>
            <w:tcBorders/>
            <w:vAlign w:val="bottom"/>
          </w:tcPr>
          <w:p>
            <w:pPr>
              <w:pStyle w:val="Normal"/>
              <w:bidi w:val="0"/>
              <w:jc w:val="left"/>
              <w:rPr/>
            </w:pPr>
            <w:r>
              <w:rPr/>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8,384,043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8,223,339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160,704</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4,034,462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2,902,227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1,132,235</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1,756,675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1,287,412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469,263</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1,303,948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867,294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436,654</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974,514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803,475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171,039</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535,759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401,418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134,341</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40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16,989,401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14,485,165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2,504,236</w:t>
            </w:r>
          </w:p>
        </w:tc>
        <w:tc>
          <w:tcPr>
            <w:tcW w:w="146" w:type="dxa"/>
            <w:tcBorders/>
            <w:vAlign w:val="bottom"/>
          </w:tcPr>
          <w:p>
            <w:pPr>
              <w:pStyle w:val="TableContents"/>
              <w:bidi w:val="0"/>
              <w:spacing w:before="0" w:after="283"/>
              <w:jc w:val="left"/>
              <w:rPr/>
            </w:pPr>
            <w:r>
              <w:rPr/>
              <w:t> </w:t>
            </w:r>
          </w:p>
        </w:tc>
        <w:tc>
          <w:tcPr>
            <w:tcW w:w="603"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w:t>
            </w:r>
          </w:p>
        </w:tc>
        <w:tc>
          <w:tcPr>
            <w:tcW w:w="40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$2.5 million, or 17.3%, for the quarter ended March 31, 2026 as compared to the quarter ended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 increased primarily due to higher business activity, largely driven by the execution of newly awarded contracts. Increased depreciation expense reflects the commencement of depreciation for two Gulfstream aircraft following the completion of their modifications.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$5.7 million, or 30.8%, for the quarter ended March 31, 2026 as compared to the quarter ended March 31, 2025. The contribution of new contracts, along with the solid execution on the existing programs, supported the overall growth in gross profit.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$1.8 million, or 41.5%, for the quarter ended March 31, 2026 as compared to the quarter ended March 31, 2025. The primary reason for the increase is related to the growth in indirect functions to manage the business growth, including contracts, accounting, financial systems and IT infrastructure, business development and legal expenses.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increased in the first quarter of 2026 compared to 2025 as a result of the increase in our property and equipment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$3.0 million, or 58.7%, for the quarter ended March 31, 2026 compared to the same period in 2025, primarily due to higher total debt as a result of the recapitalization and the purchase of two Bombardier Challenger 650 aircraft.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205" w:type="dxa"/>
        <w:jc w:val="left"/>
        <w:tblInd w:w="0" w:type="dxa"/>
        <w:tblLayout w:type="fixed"/>
        <w:tblCellMar>
          <w:top w:w="0" w:type="dxa"/>
          <w:left w:w="0" w:type="dxa"/>
          <w:bottom w:w="0" w:type="dxa"/>
          <w:right w:w="0" w:type="dxa"/>
        </w:tblCellMar>
      </w:tblPr>
      <w:tblGrid>
        <w:gridCol w:w="4226"/>
        <w:gridCol w:w="146"/>
        <w:gridCol w:w="301"/>
        <w:gridCol w:w="1531"/>
        <w:gridCol w:w="146"/>
        <w:gridCol w:w="301"/>
        <w:gridCol w:w="1531"/>
        <w:gridCol w:w="146"/>
        <w:gridCol w:w="301"/>
        <w:gridCol w:w="1576"/>
      </w:tblGrid>
      <w:tr>
        <w:trPr/>
        <w:tc>
          <w:tcPr>
            <w:tcW w:w="4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3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4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115,137,724</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62,018,066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65,939,696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57,192,593</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71,425,387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62,674,354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57,945,131</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18,545,660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16,215,766</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6,877,818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8,014,645</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1,189,648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1,798,377</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29,277,863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27,711,439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29,688,747</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42,147,524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34,962,915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28,256,384</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4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22,241,572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23,187,747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22,743,854</w:t>
            </w:r>
          </w:p>
        </w:tc>
      </w:tr>
      <w:tr>
        <w:trPr/>
        <w:tc>
          <w:tcPr>
            <w:tcW w:w="4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1,198,471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863,078</w:t>
            </w:r>
          </w:p>
        </w:tc>
      </w:tr>
      <w:tr>
        <w:trPr/>
        <w:tc>
          <w:tcPr>
            <w:tcW w:w="4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23,563,808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24,386,218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23,606,932</w:t>
            </w:r>
          </w:p>
        </w:tc>
      </w:tr>
      <w:tr>
        <w:trPr/>
        <w:tc>
          <w:tcPr>
            <w:tcW w:w="4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10,576,697</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4,649,452</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094" w:type="dxa"/>
        <w:jc w:val="left"/>
        <w:tblInd w:w="0" w:type="dxa"/>
        <w:tblLayout w:type="fixed"/>
        <w:tblCellMar>
          <w:top w:w="0" w:type="dxa"/>
          <w:left w:w="0" w:type="dxa"/>
          <w:bottom w:w="0" w:type="dxa"/>
          <w:right w:w="0" w:type="dxa"/>
        </w:tblCellMar>
      </w:tblPr>
      <w:tblGrid>
        <w:gridCol w:w="2836"/>
        <w:gridCol w:w="146"/>
        <w:gridCol w:w="286"/>
        <w:gridCol w:w="1531"/>
        <w:gridCol w:w="146"/>
        <w:gridCol w:w="1531"/>
        <w:gridCol w:w="146"/>
        <w:gridCol w:w="1261"/>
        <w:gridCol w:w="146"/>
        <w:gridCol w:w="638"/>
        <w:gridCol w:w="427"/>
      </w:tblGrid>
      <w:tr>
        <w:trPr/>
        <w:tc>
          <w:tcPr>
            <w:tcW w:w="283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9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bottom"/>
          </w:tcPr>
          <w:p>
            <w:pPr>
              <w:pStyle w:val="TableContents"/>
              <w:bidi w:val="0"/>
              <w:spacing w:before="0" w:after="283"/>
              <w:jc w:val="left"/>
              <w:rPr/>
            </w:pPr>
            <w:r>
              <w:rPr/>
              <w:t> </w:t>
            </w:r>
          </w:p>
        </w:tc>
        <w:tc>
          <w:tcPr>
            <w:tcW w:w="126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(Decrease)</w:t>
            </w:r>
          </w:p>
        </w:tc>
        <w:tc>
          <w:tcPr>
            <w:tcW w:w="146" w:type="dxa"/>
            <w:vMerge w:val="restart"/>
            <w:tcBorders/>
            <w:vAlign w:val="bottom"/>
          </w:tcPr>
          <w:p>
            <w:pPr>
              <w:pStyle w:val="TableContents"/>
              <w:bidi w:val="0"/>
              <w:spacing w:before="0" w:after="283"/>
              <w:jc w:val="left"/>
              <w:rPr/>
            </w:pPr>
            <w:r>
              <w:rPr/>
              <w:t> </w:t>
            </w:r>
          </w:p>
        </w:tc>
        <w:tc>
          <w:tcPr>
            <w:tcW w:w="106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8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5" w:type="dxa"/>
            <w:gridSpan w:val="2"/>
            <w:vMerge w:val="continue"/>
            <w:tcBorders/>
            <w:vAlign w:val="bottom"/>
          </w:tcPr>
          <w:p>
            <w:pPr>
              <w:pStyle w:val="Normal"/>
              <w:bidi w:val="0"/>
              <w:jc w:val="left"/>
              <w:rPr/>
            </w:pPr>
            <w:r>
              <w:rPr/>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2,605,281</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727,174</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1,313,527</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183,421</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4,829,403</w:t>
            </w:r>
          </w:p>
        </w:tc>
        <w:tc>
          <w:tcPr>
            <w:tcW w:w="146" w:type="dxa"/>
            <w:tcBorders/>
            <w:vAlign w:val="bottom"/>
          </w:tcPr>
          <w:p>
            <w:pPr>
              <w:pStyle w:val="TableContents"/>
              <w:bidi w:val="0"/>
              <w:spacing w:before="0" w:after="283"/>
              <w:jc w:val="left"/>
              <w:rPr/>
            </w:pPr>
            <w:r>
              <w:rPr/>
              <w:t> </w:t>
            </w:r>
          </w:p>
        </w:tc>
        <w:tc>
          <w:tcPr>
            <w:tcW w:w="63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4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$4.8 million, or 3.8%, for the year ended December 31, 2025, in comparison to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in 2025 primarily due to higher activity and the impact of the new contracts on our aerial firefighting programs, partially offset by a decline in modification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and flight-hour revenue increased, driven by the addition of an aircraft to the U.S. Forest Service ASM contract, along with contractual rate increases resulting from the fleet upgrade on that program. The newly awarded contracts for testing and training and aerial firefighting missions also provided incremental revenue and additional flight-hour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revenue increased due to newly awarded ISR contracts with a Five Eyes partner nation and the U.S. Army. Higher rates were also negotiated on existing testing and training service contracts. These increases reflect both expanded customer relationships and improved pricing terms on select service offerings. Modification income declined as major mapping and ISR modifications were completed on two Gulfstream GV aircraft transitioning into the operations phase after a multi-year modification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8855" w:type="dxa"/>
        <w:jc w:val="left"/>
        <w:tblInd w:w="0" w:type="dxa"/>
        <w:tblLayout w:type="fixed"/>
        <w:tblCellMar>
          <w:top w:w="0" w:type="dxa"/>
          <w:left w:w="0" w:type="dxa"/>
          <w:bottom w:w="0" w:type="dxa"/>
          <w:right w:w="0" w:type="dxa"/>
        </w:tblCellMar>
      </w:tblPr>
      <w:tblGrid>
        <w:gridCol w:w="2596"/>
        <w:gridCol w:w="146"/>
        <w:gridCol w:w="286"/>
        <w:gridCol w:w="1396"/>
        <w:gridCol w:w="146"/>
        <w:gridCol w:w="1396"/>
        <w:gridCol w:w="146"/>
        <w:gridCol w:w="1291"/>
        <w:gridCol w:w="241"/>
        <w:gridCol w:w="146"/>
        <w:gridCol w:w="669"/>
        <w:gridCol w:w="396"/>
      </w:tblGrid>
      <w:tr>
        <w:trPr/>
        <w:tc>
          <w:tcPr>
            <w:tcW w:w="259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2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bottom"/>
          </w:tcPr>
          <w:p>
            <w:pPr>
              <w:pStyle w:val="TableContents"/>
              <w:bidi w:val="0"/>
              <w:spacing w:before="0" w:after="283"/>
              <w:jc w:val="left"/>
              <w:rPr/>
            </w:pPr>
            <w:r>
              <w:rPr/>
              <w:t> </w:t>
            </w:r>
          </w:p>
        </w:tc>
        <w:tc>
          <w:tcPr>
            <w:tcW w:w="153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bottom"/>
          </w:tcPr>
          <w:p>
            <w:pPr>
              <w:pStyle w:val="TableContents"/>
              <w:bidi w:val="0"/>
              <w:spacing w:before="0" w:after="283"/>
              <w:jc w:val="left"/>
              <w:rPr/>
            </w:pPr>
            <w:r>
              <w:rPr/>
              <w:t> </w:t>
            </w:r>
          </w:p>
        </w:tc>
        <w:tc>
          <w:tcPr>
            <w:tcW w:w="106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5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5" w:type="dxa"/>
            <w:gridSpan w:val="2"/>
            <w:vMerge w:val="continue"/>
            <w:tcBorders/>
            <w:vAlign w:val="bottom"/>
          </w:tcPr>
          <w:p>
            <w:pPr>
              <w:pStyle w:val="Normal"/>
              <w:bidi w:val="0"/>
              <w:jc w:val="left"/>
              <w:rPr/>
            </w:pPr>
            <w:r>
              <w:rPr/>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(5,564,954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1,440,075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3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62,018,066</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65,939,696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(3,921,630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9"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w:t>
            </w:r>
          </w:p>
        </w:tc>
        <w:tc>
          <w:tcPr>
            <w:tcW w:w="3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decreased by $3.9 million, or -5.9%, for the year ended December 31, 2025, in comparison to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 significantly decreased in 2025, as a result of the transition within the AGC HR3D program. With the addition of two Gulfstream GV aircraft to our fleet, the operations being performed by the G-IV aircraft ceased at the end of 2024. The transition significantly reduced operating expenses compared to the prior year due to the GV aircraft undergoing modification.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$8.8 million, or 14.0%, for the year ended December 31, 2025, in comparison to the year ended December 31, 2024. The increase in scope, overall activity and the contribution of new contracts drove revenue growth across multiple programs. Gross profit further benefited from a reduction in operational costs.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$2.9 million, or 15.8%, for the year ended December 31, 2025, in comparison to the year ended December 31, 2024. The primary reason for the increase is related to legal expenses, increased business development efforts and supporting the growth in services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increased in 2025 as a result of the increase in our property and equipment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Value of Contingent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 decreased by $0.8 million for the year ended December 31, 2025, in comparison to the year ended December 31, 2024. The decrease is driven by a true-up of an earn-out liability based on actual financial results.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decreased by $0.9 million, or -4.1%, for the year ended December 31, 2025, in comparison to the year ended December 31, 2024, supported by the drop in the SOFR rate from 2024 to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2024 and 2023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229" w:type="dxa"/>
        <w:jc w:val="left"/>
        <w:tblInd w:w="0" w:type="dxa"/>
        <w:tblLayout w:type="fixed"/>
        <w:tblCellMar>
          <w:top w:w="0" w:type="dxa"/>
          <w:left w:w="0" w:type="dxa"/>
          <w:bottom w:w="0" w:type="dxa"/>
          <w:right w:w="0" w:type="dxa"/>
        </w:tblCellMar>
      </w:tblPr>
      <w:tblGrid>
        <w:gridCol w:w="2836"/>
        <w:gridCol w:w="146"/>
        <w:gridCol w:w="286"/>
        <w:gridCol w:w="1531"/>
        <w:gridCol w:w="146"/>
        <w:gridCol w:w="1531"/>
        <w:gridCol w:w="146"/>
        <w:gridCol w:w="1396"/>
        <w:gridCol w:w="146"/>
        <w:gridCol w:w="638"/>
        <w:gridCol w:w="427"/>
      </w:tblGrid>
      <w:tr>
        <w:trPr/>
        <w:tc>
          <w:tcPr>
            <w:tcW w:w="283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9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bottom"/>
          </w:tcPr>
          <w:p>
            <w:pPr>
              <w:pStyle w:val="TableContents"/>
              <w:bidi w:val="0"/>
              <w:spacing w:before="0" w:after="283"/>
              <w:jc w:val="left"/>
              <w:rPr/>
            </w:pPr>
            <w:r>
              <w:rPr/>
              <w:t> </w:t>
            </w:r>
          </w:p>
        </w:tc>
        <w:tc>
          <w:tcPr>
            <w:tcW w:w="139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bottom"/>
          </w:tcPr>
          <w:p>
            <w:pPr>
              <w:pStyle w:val="TableContents"/>
              <w:bidi w:val="0"/>
              <w:spacing w:before="0" w:after="283"/>
              <w:jc w:val="left"/>
              <w:rPr/>
            </w:pPr>
            <w:r>
              <w:rPr/>
              <w:t> </w:t>
            </w:r>
          </w:p>
        </w:tc>
        <w:tc>
          <w:tcPr>
            <w:tcW w:w="106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8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5" w:type="dxa"/>
            <w:gridSpan w:val="2"/>
            <w:vMerge w:val="continue"/>
            <w:tcBorders/>
            <w:vAlign w:val="bottom"/>
          </w:tcPr>
          <w:p>
            <w:pPr>
              <w:pStyle w:val="Normal"/>
              <w:bidi w:val="0"/>
              <w:jc w:val="left"/>
              <w:rPr/>
            </w:pPr>
            <w:r>
              <w:rPr/>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58,986,101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8,307,400</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49,004,311</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3,325,411</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1,600,191</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2,018,588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243,324</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115,137,724</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13,476,326</w:t>
            </w:r>
          </w:p>
        </w:tc>
        <w:tc>
          <w:tcPr>
            <w:tcW w:w="146" w:type="dxa"/>
            <w:tcBorders/>
            <w:vAlign w:val="bottom"/>
          </w:tcPr>
          <w:p>
            <w:pPr>
              <w:pStyle w:val="TableContents"/>
              <w:bidi w:val="0"/>
              <w:spacing w:before="0" w:after="283"/>
              <w:jc w:val="left"/>
              <w:rPr/>
            </w:pPr>
            <w:r>
              <w:rPr/>
              <w:t> </w:t>
            </w:r>
          </w:p>
        </w:tc>
        <w:tc>
          <w:tcPr>
            <w:tcW w:w="63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w:t>
            </w:r>
          </w:p>
        </w:tc>
        <w:tc>
          <w:tcPr>
            <w:tcW w:w="4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$13.5 million, or 11.7%, for the year ended December 31, 2024, in comparison to the year ended December 31,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in 2024, driven primarily by higher activity on the AGC HR3D program, as the company’s second GV aircraft was on contract for the full year compared to a partial year in 2023, and the majority of mapping and ISR modification revenues for both aircraft were recognized. Additional revenue growth was generated by the fleet upgrade and increased operational activity under the U.S. Forest Service ASM contract.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8584" w:type="dxa"/>
        <w:jc w:val="left"/>
        <w:tblInd w:w="0" w:type="dxa"/>
        <w:tblLayout w:type="fixed"/>
        <w:tblCellMar>
          <w:top w:w="0" w:type="dxa"/>
          <w:left w:w="0" w:type="dxa"/>
          <w:bottom w:w="0" w:type="dxa"/>
          <w:right w:w="0" w:type="dxa"/>
        </w:tblCellMar>
      </w:tblPr>
      <w:tblGrid>
        <w:gridCol w:w="2596"/>
        <w:gridCol w:w="146"/>
        <w:gridCol w:w="286"/>
        <w:gridCol w:w="1396"/>
        <w:gridCol w:w="146"/>
        <w:gridCol w:w="1396"/>
        <w:gridCol w:w="146"/>
        <w:gridCol w:w="1261"/>
        <w:gridCol w:w="146"/>
        <w:gridCol w:w="638"/>
        <w:gridCol w:w="427"/>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bottom"/>
          </w:tcPr>
          <w:p>
            <w:pPr>
              <w:pStyle w:val="TableContents"/>
              <w:bidi w:val="0"/>
              <w:spacing w:before="0" w:after="283"/>
              <w:jc w:val="left"/>
              <w:rPr/>
            </w:pPr>
            <w:r>
              <w:rPr/>
              <w:t> </w:t>
            </w:r>
          </w:p>
        </w:tc>
        <w:tc>
          <w:tcPr>
            <w:tcW w:w="126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bottom"/>
          </w:tcPr>
          <w:p>
            <w:pPr>
              <w:pStyle w:val="TableContents"/>
              <w:bidi w:val="0"/>
              <w:spacing w:before="0" w:after="283"/>
              <w:jc w:val="left"/>
              <w:rPr/>
            </w:pPr>
            <w:r>
              <w:rPr/>
              <w:t> </w:t>
            </w:r>
          </w:p>
        </w:tc>
        <w:tc>
          <w:tcPr>
            <w:tcW w:w="106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5" w:type="dxa"/>
            <w:gridSpan w:val="2"/>
            <w:vMerge w:val="continue"/>
            <w:tcBorders/>
            <w:vAlign w:val="bottom"/>
          </w:tcPr>
          <w:p>
            <w:pPr>
              <w:pStyle w:val="Normal"/>
              <w:bidi w:val="0"/>
              <w:jc w:val="left"/>
              <w:rPr/>
            </w:pPr>
            <w:r>
              <w:rPr/>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36,356,940</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2,272,489</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6,541,903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970,799</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3,335,431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94,690</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7,241,337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4,210,810</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2,202,750</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1,026,253</w:t>
            </w:r>
          </w:p>
        </w:tc>
        <w:tc>
          <w:tcPr>
            <w:tcW w:w="146" w:type="dxa"/>
            <w:tcBorders/>
            <w:vAlign w:val="bottom"/>
          </w:tcPr>
          <w:p>
            <w:pPr>
              <w:pStyle w:val="TableContents"/>
              <w:bidi w:val="0"/>
              <w:spacing w:before="0" w:after="283"/>
              <w:jc w:val="left"/>
              <w:rPr/>
            </w:pPr>
            <w:r>
              <w:rPr/>
              <w:t> </w:t>
            </w:r>
          </w:p>
        </w:tc>
        <w:tc>
          <w:tcPr>
            <w:tcW w:w="6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4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1,514,232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172,062</w:t>
            </w:r>
          </w:p>
        </w:tc>
        <w:tc>
          <w:tcPr>
            <w:tcW w:w="146"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65,939,696</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57,192,593</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8,747,103</w:t>
            </w:r>
          </w:p>
        </w:tc>
        <w:tc>
          <w:tcPr>
            <w:tcW w:w="146" w:type="dxa"/>
            <w:tcBorders/>
            <w:vAlign w:val="bottom"/>
          </w:tcPr>
          <w:p>
            <w:pPr>
              <w:pStyle w:val="TableContents"/>
              <w:bidi w:val="0"/>
              <w:spacing w:before="0" w:after="283"/>
              <w:jc w:val="left"/>
              <w:rPr/>
            </w:pPr>
            <w:r>
              <w:rPr/>
              <w:t> </w:t>
            </w:r>
          </w:p>
        </w:tc>
        <w:tc>
          <w:tcPr>
            <w:tcW w:w="63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w:t>
            </w:r>
          </w:p>
        </w:tc>
        <w:tc>
          <w:tcPr>
            <w:tcW w:w="4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$8.7 million, or 15.3%, for the year ended December 31, 2024, in comparison to the year ended December 31,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the increase in revenues noted above, cost of revenues increased during this period primarily due to higher activity on the AGC HR3D program. During 2024, Tenax temporarily operated three aircraft under contract as part of the transition associated with the upgrade from one Gulfstream G-IV aircraft to two Gulfstream GV aircraft, resulting in elevated operating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increased in 2024 as a result of the increase in our property and equipment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$4.7 million, or 8.2%, for the year ended December 31, 2024, in comparison to the year ended December 31, 2023. The primary reason for the increase is the higher activity on the AGC HR3D program, along with the higher contribution coming from fleet upgrades and additional flight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$2.3 million, or 14%, for the year ended December 31, 2024, in comparison to the year ended December 31, 2023. The increase was driven primarily by higher personnel-related costs attributable to incremental headcount added to support expanding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$1.1 million, or -14.2%, for the year ended December 31, 2024, in comparison to the year ended December 31, 2023. The decrease is driven by a reduction in the amortization amount due to the declining balance of customer relationship intangible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Value of Contingent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 decreased by $2.4 million for the year ended December 31, 2024, in comparison to the year ended December 31, 2023. The decrease is driven by a true-up of an earn-out liability based on actual financial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net income or loss, as determined in accordance with GAAP, is the most appropriate earnings measure, we use EBITDA and Adjusted EBITDA as key profitability measures to assess the performance of our business. We believe these measures help illustrate underlying trends in our business and use the measures to establish budgets and operational goals, and communicate internally and externally, in managing our business and evaluating its performance. We also believe these measures help investors compare our operating performance with its results in prior periods in a way that is consistent with how management evaluates such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profitability measures described below is not recognized under GAAP and does not purport to be an alternative to net income or loss determined in accordance with GAAP as a measure of our performance. Such measures have limitations as analytical tools, and should not be considered in isolation or as substitutes for our results as reported under GAAP. EBITDA and Adjusted EBITDA exclude items that can have a significant effect on our profit or loss and should, therefore, be used only in conjunction with our GAAP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EBITDA and Adjusted 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is a non-GAAP financial performance measure calculated by adding income taxes, interest, amortization and depreciation back to the company’s net income or net loss. EBITDA eliminates potential differences in performance caused by variations in capital structures (affecting financing expenses), the cost and age of tangible assets (affecting relative depreciation expense) and the extent to which intangible assets are identifiable (affecting relative amortization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certain costs that are required to be expensed in accordance with GAAP, including change in value of contingent consideration, change in fair value of interest rate cap, swap, warrants and transaction costs.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Net income (loss), the most directly comparable GAAP measure, to EBITDA and Adjusted EBITDA for the years ended December 31, 2025, 2024 and 2023 is as follows:</w:t>
      </w:r>
    </w:p>
    <w:tbl>
      <w:tblPr>
        <w:tblW w:w="9884" w:type="dxa"/>
        <w:jc w:val="left"/>
        <w:tblInd w:w="0" w:type="dxa"/>
        <w:tblLayout w:type="fixed"/>
        <w:tblCellMar>
          <w:top w:w="0" w:type="dxa"/>
          <w:left w:w="0" w:type="dxa"/>
          <w:bottom w:w="0" w:type="dxa"/>
          <w:right w:w="0" w:type="dxa"/>
        </w:tblCellMar>
      </w:tblPr>
      <w:tblGrid>
        <w:gridCol w:w="5461"/>
        <w:gridCol w:w="146"/>
        <w:gridCol w:w="301"/>
        <w:gridCol w:w="1396"/>
        <w:gridCol w:w="346"/>
        <w:gridCol w:w="146"/>
        <w:gridCol w:w="301"/>
        <w:gridCol w:w="1396"/>
        <w:gridCol w:w="391"/>
      </w:tblGrid>
      <w:tr>
        <w:trPr/>
        <w:tc>
          <w:tcPr>
            <w:tcW w:w="546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27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Quarter Ended March 31,</w:t>
            </w:r>
          </w:p>
        </w:tc>
      </w:tr>
      <w:tr>
        <w:trPr/>
        <w:tc>
          <w:tcPr>
            <w:tcW w:w="54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8,936,309</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6,344,171</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5,451,781</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4,403,248</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8,011,166</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5,032,776</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22,399,256</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15,780,195</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certain financial instruments(1)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(661,404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505,569</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501,632</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22,239,484</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16,285,764</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margin(3)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margin(3)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Financial instruments include interest rate cap, swap and warrants.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2)     Transaction costs include acquisition costs as well as other transaction-based expenses.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3)     Net income margin represents Net income divided by Total revenue, and Adjusted EBITDA margin represents Adjusted EBITDA divided by Total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Net income (loss), the most directly comparable GAAP measure, to EBITDA and Adjusted EBITDA for the years ended December 31, 2025, 2024 and 2023 is as follows:</w:t>
      </w:r>
    </w:p>
    <w:tbl>
      <w:tblPr>
        <w:tblW w:w="10205" w:type="dxa"/>
        <w:jc w:val="left"/>
        <w:tblInd w:w="0" w:type="dxa"/>
        <w:tblLayout w:type="fixed"/>
        <w:tblCellMar>
          <w:top w:w="0" w:type="dxa"/>
          <w:left w:w="0" w:type="dxa"/>
          <w:bottom w:w="0" w:type="dxa"/>
          <w:right w:w="0" w:type="dxa"/>
        </w:tblCellMar>
      </w:tblPr>
      <w:tblGrid>
        <w:gridCol w:w="3593"/>
        <w:gridCol w:w="146"/>
        <w:gridCol w:w="301"/>
        <w:gridCol w:w="1396"/>
        <w:gridCol w:w="346"/>
        <w:gridCol w:w="146"/>
        <w:gridCol w:w="301"/>
        <w:gridCol w:w="1396"/>
        <w:gridCol w:w="346"/>
        <w:gridCol w:w="146"/>
        <w:gridCol w:w="301"/>
        <w:gridCol w:w="1396"/>
        <w:gridCol w:w="391"/>
      </w:tblGrid>
      <w:tr>
        <w:trPr/>
        <w:tc>
          <w:tcPr>
            <w:tcW w:w="3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10,576,697</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4,649,452</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19,106,857</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18,329,965</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15,255,982</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22,241,572</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23,187,747</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22,743,854</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59,932,145</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52,094,409</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42,649,288</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interest rate cap and swap</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863,156</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379,923</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1,171,223</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638,971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1,028,026</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61,650,349</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54,496,371</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47,480,470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margin(2)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margin(2)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Transaction costs include acquisition costs as well as other transaction-based expenses.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2)     Net income margin represents Net income divided by Total revenue, and Adjusted EBITDA margin represents Adjusted EBITDA divided by Total revenue.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sources of liquidity are cash generated from operations and borrowings under our senior secured credit facilities. Our capital resources are managed to fund operations, support organic growth initiatives and execute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highly predictable, with a significant portion derived from a diversified portfolio of long-term contracts with U.S. government agencies and other key partners. Key contracts include multi-year agreements with customers like the U.S. Army, U.S. Forest Service and the U.S. Navy, as well as contracts with multiple other government agencies, Five Eyes partner nations, state agencies and commercial customers. We have an exceptional recompete rate of 92% since 2009, and our average customer tenure is about 13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commitments consist of obligations for outstanding leases and debt. The following table summarizes our contractual obligations as of March 31, 2026:</w:t>
      </w:r>
    </w:p>
    <w:tbl>
      <w:tblPr>
        <w:tblW w:w="10205" w:type="dxa"/>
        <w:jc w:val="left"/>
        <w:tblInd w:w="0" w:type="dxa"/>
        <w:tblLayout w:type="fixed"/>
        <w:tblCellMar>
          <w:top w:w="0" w:type="dxa"/>
          <w:left w:w="0" w:type="dxa"/>
          <w:bottom w:w="0" w:type="dxa"/>
          <w:right w:w="0" w:type="dxa"/>
        </w:tblCellMar>
      </w:tblPr>
      <w:tblGrid>
        <w:gridCol w:w="1277"/>
        <w:gridCol w:w="146"/>
        <w:gridCol w:w="1531"/>
        <w:gridCol w:w="146"/>
        <w:gridCol w:w="301"/>
        <w:gridCol w:w="1396"/>
        <w:gridCol w:w="146"/>
        <w:gridCol w:w="301"/>
        <w:gridCol w:w="1396"/>
        <w:gridCol w:w="146"/>
        <w:gridCol w:w="1531"/>
        <w:gridCol w:w="146"/>
        <w:gridCol w:w="301"/>
        <w:gridCol w:w="1441"/>
      </w:tblGrid>
      <w:tr>
        <w:trPr/>
        <w:tc>
          <w:tcPr>
            <w:tcW w:w="12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782"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12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Less than </w:t>
              <w:br/>
              <w:t>1 year</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 years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4-5 years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After </w:t>
              <w:br/>
              <w:t>5 years</w:t>
            </w:r>
          </w:p>
        </w:tc>
      </w:tr>
      <w:tr>
        <w:trPr/>
        <w:tc>
          <w:tcPr>
            <w:tcW w:w="1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obligations</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6,798,906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4,170,440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1,453,038</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246,580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928,848</w:t>
            </w:r>
          </w:p>
        </w:tc>
      </w:tr>
      <w:tr>
        <w:trPr/>
        <w:tc>
          <w:tcPr>
            <w:tcW w:w="1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360,847,085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10,802,143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55,811,073</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251,443,936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42,789,933</w:t>
            </w:r>
          </w:p>
        </w:tc>
      </w:tr>
      <w:tr>
        <w:trPr/>
        <w:tc>
          <w:tcPr>
            <w:tcW w:w="1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367,645,991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14,972,583</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57,264,111</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251,690,516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43,718,781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commitments consist of obligations for outstanding leases and debt. The following table summarizes our contractual obligations as of December 31, 2025:</w:t>
      </w:r>
    </w:p>
    <w:tbl>
      <w:tblPr>
        <w:tblW w:w="9946" w:type="dxa"/>
        <w:jc w:val="left"/>
        <w:tblInd w:w="0" w:type="dxa"/>
        <w:tblLayout w:type="fixed"/>
        <w:tblCellMar>
          <w:top w:w="0" w:type="dxa"/>
          <w:left w:w="0" w:type="dxa"/>
          <w:bottom w:w="0" w:type="dxa"/>
          <w:right w:w="0" w:type="dxa"/>
        </w:tblCellMar>
      </w:tblPr>
      <w:tblGrid>
        <w:gridCol w:w="2566"/>
        <w:gridCol w:w="146"/>
        <w:gridCol w:w="1531"/>
        <w:gridCol w:w="146"/>
        <w:gridCol w:w="1396"/>
        <w:gridCol w:w="146"/>
        <w:gridCol w:w="1531"/>
        <w:gridCol w:w="146"/>
        <w:gridCol w:w="1096"/>
        <w:gridCol w:w="146"/>
        <w:gridCol w:w="1096"/>
      </w:tblGrid>
      <w:tr>
        <w:trPr/>
        <w:tc>
          <w:tcPr>
            <w:tcW w:w="25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34"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 years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4-5 years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After </w:t>
              <w:br/>
              <w:t>5 years</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obligations</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4,846,002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2,790,343</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880,231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246,580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928,848</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242,473,250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274,535,329</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30,006,420</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243,353,481</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246,580</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928,848</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categorized as either maintenance or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Maintenance Capex:    Averages approximately $4-$8 million annually, primarily for scheduled engine overhauls.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Growth Capex:    Driven by new contract awards that require the acquisition and modification of aircraft. We have a proven history of making disciplined investments that generate strong returns, with a target Return on Capital Employed (ROCE) of over 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Historical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Ending March 31, 2026 and March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cash flows from operating, investing and financing activities for the quarters ended March 31, 2026 and 2025 were as follows:</w:t>
      </w:r>
    </w:p>
    <w:tbl>
      <w:tblPr>
        <w:tblW w:w="8144" w:type="dxa"/>
        <w:jc w:val="left"/>
        <w:tblInd w:w="0" w:type="dxa"/>
        <w:tblLayout w:type="fixed"/>
        <w:tblCellMar>
          <w:top w:w="0" w:type="dxa"/>
          <w:left w:w="0" w:type="dxa"/>
          <w:bottom w:w="0" w:type="dxa"/>
          <w:right w:w="0" w:type="dxa"/>
        </w:tblCellMar>
      </w:tblPr>
      <w:tblGrid>
        <w:gridCol w:w="4141"/>
        <w:gridCol w:w="146"/>
        <w:gridCol w:w="301"/>
        <w:gridCol w:w="1321"/>
        <w:gridCol w:w="241"/>
        <w:gridCol w:w="146"/>
        <w:gridCol w:w="301"/>
        <w:gridCol w:w="1261"/>
        <w:gridCol w:w="286"/>
      </w:tblGrid>
      <w:tr>
        <w:trPr/>
        <w:tc>
          <w:tcPr>
            <w:tcW w:w="4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12,502,325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3,572,186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(17,461,854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(7,635,493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5,316,585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6,447,998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357,056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2,384,691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$12.5 million for the quarter ended March 31, 2026, compared to $3.6 million for the quarter ended March 31, 2025, which represents an increase of $8.9 million. The increase was mainly driven by business growth and favorable changes in working capital, partially offset by payments related to contingencies. Additionally, the cash contribution of programs awarded during the latter part of 2025 drove the increase, along with the unwinding of deferred revenue following the completion of multi-year modification work on two Gulfstream GV aircraft.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$17.5 million for the quarter ended March 31, 2026, compared to $7.6 million for the quarter ended March 31, 2025, which represents an increase of $9.8 million. This increase was mainly driven by the purchase of an additional aircraft for the execution of a new contract with the U.S. Navy, with ATAC as the prime contractor, as well as for the related deposits towards contract required modifications. This was partly offset by the sale of a King Air B200 aircraft.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$5.3 million for the quarter ended March 31, 2026, compared to $6.4 million for the quarter ended March 31, 2025. The comparative decrease in cash flows provided by financing activities was primarily driven by cash outflows related to the repurchasing of member units and the related transaction costs.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cash flows from operating, investing and financing activities for the years ended December 31, 2025, 2024 and 2023 were as follows:</w:t>
      </w:r>
    </w:p>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December 31,</w:t>
            </w:r>
          </w:p>
        </w:tc>
      </w:tr>
      <w:tr>
        <w:trPr/>
        <w:tc>
          <w:tcPr>
            <w:tcW w:w="4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16,421,127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44,784,996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17,402,693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(67,059,298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(7,834,703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(52,643,849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50,556,317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(40,950,077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35,749,763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(3,999,784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$16.4 million for the year ended December 31, 2025, compared to $44.8 million for the year ended December 31, 2024, which represents a decrease of $28.4 million. Cash flows from operating activities decreased mainly because of the unwinding of deferred revenue following the completion of multi-year modification work on two Gulfstream GV aircraft, and a temporary increase in working capital primarily driven by the start of new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$44.8 million for the year ended December 31, 2024, compared to $17.4 million for the year ended December 31, 2023, which represents an increase of $27.4 million. Cash flows from operating activities increased due to the scope increase in the AGC HR3D program, along with the higher contribution from aerial firefighting programs.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$67.1 million for the year ended December 31, 2025, compared to $7.8 million for the year ended December 31, 2024, which represents an increase of $59.2 million. This increase was mainly driven by the purchase of additional aircraft to support new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$7.8 million for the year ended December 31, 2024, compared to $52.6 million for the year ended December 31, 2023, which represents a decrease of $44.8 million. Cash flows from investing activities declined because the large aircraft purchases for newly awarded contracts that drove higher outflows in 2023 were completed in that year, and no aircraft acquisitions occurred in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$50.6 million for the year ended December 31, 2025, compared to $41.0 million used for the year ended December 31, 2024. The significant increase in cash flow provided by financing activities was driven by additional borrowing required for the acquisition of new aircraft, fleet upgrades and additional capital expenditures invested in newly awarded contracts.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$41.0 million for the year ended December 31, 2024, compared to $35.7 million provided for the year ended December 31, 2023. The increase in cash used in financing activities reflects the Company’s significant reduction of debt as a result of strong operating cash generation and proceeds from the sale of aircraft coming off contract.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market risks in the ordinary course of business. Market risk refers to the potential losses arising from adverse changes in market rates and prices. Tenax is primarily exposed to market risk associated with changes in interest rates on its variable-rate debt obligations.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exposed to interest rate risk primarily through borrowings under its variable-rate debt facilities. As of March 31, 2026, Tenax had approximately $294.6 million of variable-rate debt outstanding, consisting of its First Lien term loan, delayed draw term loans and revolving line of credit. Borrowings under these facilities bear interest based on adjusted SOFR plus an applicable margin or a base rate plus an applicable margin. The applicable variable interest rates on these borrowings were approximately 7.02% to 7.13% as of March 31, 2026. Tenax also had fixed-rate debt outstanding, including a $30.0 million Second Lien term loan bearing interest at 11.50% and a $42.8 million subordinated term loan bearing interest at 15.00%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uses interest-rate derivative instruments to mitigate a significant portion of its exposure to changes in market interest rates. As of March 31, 2026, Tenax had interest-rate cap agreements with notional amounts of $150.0 million and $75.0 million and an interest-rate swap agreement with a notional amount of $40.0 million. The aggregate notional amount of these instruments was $265.0 million, compared with approximately $294.6 million of variable-rate debt outstanding. The extent to which these instruments reduce Tenax’s interest-rate exposure depends on their respective strike rates, contractual terms and maturities and the amount and terms of the underlying variable-rate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currently evaluating its $150.0 million and $75.0 million interest-rate caps and $40.0 million interest-rate swap for potential designation in qualifying hedging relationships. Tenax intends to apply hedge accounting prospectively to any instrument that satisfies the applicable qualification criteria, including the requirement that the hedging relationship be expected to be highly effective in offsetting changes in cash flows attributable to the designated interest-rate risk. Until an instrument is formally designated and qualifies for hedge accounting, changes in its fair value will continue to be recognized in earnings.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hypothetical 100-basis-point increase in market interest rates on Tenax’s variable-rate debt outstanding as of March 31, 2026 would increase interest expense by approximately $2.9 million annually and $0.7 million for a three-month period. This gross sensitivity does not reflect the potential offsetting effects of Tenax’s interest-rate caps and swap and, therefore, does not represent Tenax’s net interest-rate exposure.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2" w:name="T9972"/>
      <w:bookmarkEnd w:id="72"/>
      <w:r>
        <w:rPr>
          <w:rFonts w:ascii="Times New Roman PS Std;serif" w:hAnsi="Times New Roman PS Std;serif"/>
          <w:b/>
          <w:i w:val="false"/>
          <w:caps w:val="false"/>
          <w:smallCaps w:val="false"/>
          <w:sz w:val="20"/>
        </w:rPr>
        <w:t xml:space="preserve">MATERIAL CONTRACTS BETWEEN AIR AND TENAX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merger agreement and the other transaction documents, neither AIR nor any of its affiliates has been, is or is currently expected to be a party to any material contract, arrangement, understanding, relationship, negotiation or transaction with Tenax or any of its affiliates. For a description of the contracts and negotiations between AIR and Tenax that led to the merger agreement, see “The Merger — Background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3" w:name="T9973"/>
      <w:bookmarkEnd w:id="73"/>
      <w:r>
        <w:rPr>
          <w:rFonts w:ascii="Times New Roman PS Std;serif" w:hAnsi="Times New Roman PS Std;serif"/>
          <w:b/>
          <w:i w:val="false"/>
          <w:caps w:val="false"/>
          <w:smallCaps w:val="false"/>
          <w:sz w:val="20"/>
        </w:rPr>
        <w:t xml:space="preserve">MANAGEMENT AND DIRECTORS OF THE COMBINED COMPANY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AIR Board will be composed of no fewer than eight directors, which shall consist only of (a) no fewer than six individuals designated by Tenax, namely Thomas Foley, Taran Bakker, Michael Ewald, Donald Fawcett, Bryan Fenton, DeWolfe Miller and John Young, and (b) two individuals to be mutually agreed upon by Tenax and AIR, namely [•] and [•],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age and position of each of the individuals who are expected to serve as executives and directors of the combined company as of July 10, 2026:</w:t>
      </w:r>
    </w:p>
    <w:tbl>
      <w:tblPr>
        <w:tblW w:w="6085" w:type="dxa"/>
        <w:jc w:val="left"/>
        <w:tblInd w:w="0" w:type="dxa"/>
        <w:tblLayout w:type="fixed"/>
        <w:tblCellMar>
          <w:top w:w="0" w:type="dxa"/>
          <w:left w:w="0" w:type="dxa"/>
          <w:bottom w:w="0" w:type="dxa"/>
          <w:right w:w="0" w:type="dxa"/>
        </w:tblCellMar>
      </w:tblPr>
      <w:tblGrid>
        <w:gridCol w:w="2851"/>
        <w:gridCol w:w="146"/>
        <w:gridCol w:w="556"/>
        <w:gridCol w:w="146"/>
        <w:gridCol w:w="2386"/>
      </w:tblGrid>
      <w:tr>
        <w:trPr/>
        <w:tc>
          <w:tcPr>
            <w:tcW w:w="28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bidi w:val="0"/>
              <w:spacing w:before="0" w:after="283"/>
              <w:jc w:val="left"/>
              <w:rPr/>
            </w:pPr>
            <w:r>
              <w:rPr/>
              <w:t> </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of Operations</w:t>
            </w:r>
          </w:p>
        </w:tc>
      </w:tr>
      <w:tr>
        <w:trPr/>
        <w:tc>
          <w:tcPr>
            <w:tcW w:w="285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bidi w:val="0"/>
              <w:spacing w:before="0" w:after="283"/>
              <w:jc w:val="left"/>
              <w:rPr/>
            </w:pPr>
            <w:r>
              <w:rPr/>
              <w:t> </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tc>
        <w:tc>
          <w:tcPr>
            <w:tcW w:w="146"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386" w:type="dxa"/>
            <w:tcBorders/>
          </w:tcPr>
          <w:p>
            <w:pPr>
              <w:pStyle w:val="TableContents"/>
              <w:bidi w:val="0"/>
              <w:spacing w:before="0" w:after="283"/>
              <w:jc w:val="left"/>
              <w:rPr/>
            </w:pPr>
            <w:r>
              <w:rPr/>
              <w:t> </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Fawcett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Bryan Fenton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DeWolfe Miller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Young</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will serve at the discretion of the AIR Board and hold office until his or her successor is duly elected and qualified or until his or her earlier resignation or removal. There are no family relationships among any of the proposed combined company’s directors or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AIR’s current directors, other than [•], are expected to resign from their positions as directors of AIR, effective as of the effective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Jim Linder.    </w:t>
      </w:r>
      <w:r>
        <w:rPr>
          <w:rFonts w:ascii="Times New Roman PS Std;serif" w:hAnsi="Times New Roman PS Std;serif"/>
          <w:b w:val="false"/>
          <w:i w:val="false"/>
          <w:caps w:val="false"/>
          <w:smallCaps w:val="false"/>
          <w:sz w:val="20"/>
        </w:rPr>
        <w:t>Major General (Ret.) Linder has been President of Tenax since 2020. Following the merger, Gen. Linder will become Chief Executive Officer of the combined company. Gen. Linder has served in more than 70 countries across Europe, Southeast Asia, Africa, the Middle East and Central and South America. He is a graduate of Harvard Business School’s Advanced Management Program and holds a master’s degree in International Relations from Webster University, as well as a degree in National Security and Strategic Studies from the U.S. Naval War College. His proven leadership skills from the military and his relationships within government and knowledge of the needs of certain Tenax customers are important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Ignacio Ladegui.    </w:t>
      </w:r>
      <w:r>
        <w:rPr>
          <w:rFonts w:ascii="Times New Roman PS Std;serif" w:hAnsi="Times New Roman PS Std;serif"/>
          <w:b w:val="false"/>
          <w:i w:val="false"/>
          <w:caps w:val="false"/>
          <w:smallCaps w:val="false"/>
          <w:sz w:val="20"/>
        </w:rPr>
        <w:t>Mr. Ladegui joined Tenax in 2023 as Executive Vice President and Chief Financial Officer. Following the merger, Mr. Ladegui will become Chief Financial Officer of the combined company. Mr. Ladegui has more than 20 years of finance, accounting and executive leadership experience in the aerospace and defense industry. Prior to joining Tenax, Mr. Ladegui spent nearly two decades with Airbus, serving in a variety of senior leadership positions, including Chief Financial Officer of Airbus U.S. Mr. Ladegui has also served on the boards of several companies, including Airbus OneWeb Satellites. Mr. Ladegui holds a bachelor’s degree in Business and Management from the University of Valladolid in Spain and an MBA from Lakeland University.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Alan Oswalt.    </w:t>
      </w:r>
      <w:r>
        <w:rPr>
          <w:rFonts w:ascii="Times New Roman PS Std;serif" w:hAnsi="Times New Roman PS Std;serif"/>
          <w:b w:val="false"/>
          <w:i w:val="false"/>
          <w:caps w:val="false"/>
          <w:smallCaps w:val="false"/>
          <w:sz w:val="20"/>
        </w:rPr>
        <w:t xml:space="preserve">Mr. Oswalt has served with Tenax since 2014 and brings more than 30 years of operations and finance experience. Following the merger, Mr. Oswalt will become EVP of Operations of the combined company. Prior to joining Tenax, Mr. Oswalt served as President of MMI, a Mississippi-based healthcare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products manufacturer, from 2003 to 2014. Earlier in his career, Mr. Oswalt held leadership positions in the telecommunications and electric utility industries with Tritel and Entergy. Mr. Oswalt holds a Bachelor of Science degree in Business Administration, with a concentration in Accounting, from The University of Southern Mississippi.</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Thomas Foley.    </w:t>
      </w:r>
      <w:r>
        <w:rPr>
          <w:rFonts w:ascii="Times New Roman PS Std;serif" w:hAnsi="Times New Roman PS Std;serif"/>
          <w:b w:val="false"/>
          <w:i w:val="false"/>
          <w:caps w:val="false"/>
          <w:smallCaps w:val="false"/>
          <w:sz w:val="20"/>
        </w:rPr>
        <w:t>Mr. Foley currently serves as Chairman of the Board at Tenax, a role he has held since 2018. He is the Founder and a Partner at NTC Group. He is also a Director at Stevens Aerospace &amp; Defense and The Entwistle Company. Mr. Foley founded NTC Group after working at McKinsey &amp; Company and Citicorp Venture Capital. Mr. Foley graduated from Harvard College and has an MBA from Harvard Business School. Mr. Foley has been a CEO of numerous businesses during his more than 40-year business career. He also has extensive experience acquiring businesses, which is part of Tenax’s strategy going forward. Mr. Foley has served in government, including with the Coalition Provisional Authority in Iraq and as the U.S. Ambassador to Ireland, and has numerous relationships and knowledge of how the government works, which is valuable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Taran Bakker.    </w:t>
      </w:r>
      <w:r>
        <w:rPr>
          <w:rFonts w:ascii="Times New Roman PS Std;serif" w:hAnsi="Times New Roman PS Std;serif"/>
          <w:b w:val="false"/>
          <w:i w:val="false"/>
          <w:caps w:val="false"/>
          <w:smallCaps w:val="false"/>
          <w:sz w:val="20"/>
        </w:rPr>
        <w:t>Mr. Bakker currently serves as a Director at Tenax, a role he has held since 2018. He has also been a Partner at NTC Group since 2018 and has served as Executive Chairman at The Entwistle Company since 2020. He is also a Director at Stevens Aerospace &amp; Defense. Mr. Bakker was President of Tenax from 2018 to 2021. He was previously a Director at Ontex NV and Pret a Manger LTD while at Goldman Sachs. Prior to that, he worked at Morgan Stanley and McKinsey &amp; Company. Mr. Bakker received his undergraduate degree from the London School of Economics and a Masters in Finance and Business from HEC Paris. Mr. Bakker’s knowledge of Tenax’s operations and his experience acquiring businesses are important to the combined company’s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Ewald.    </w:t>
      </w:r>
      <w:r>
        <w:rPr>
          <w:rFonts w:ascii="Times New Roman PS Std;serif" w:hAnsi="Times New Roman PS Std;serif"/>
          <w:b w:val="false"/>
          <w:i w:val="false"/>
          <w:caps w:val="false"/>
          <w:smallCaps w:val="false"/>
          <w:sz w:val="20"/>
        </w:rPr>
        <w:t>Mr. Ewald is a Partner, Global Head of the Private Credit Group and Portfolio Manager for the Middle Market Credit and Global Direct Lending strategies at Bain Capital, a leading global alternative asset manager with approximately $215 billion in assets under management. He also serves as CEO and Director of Bain Capital Specialty Finance, Inc. (NYSE: BCSF), a publicly traded business development company, and Bain Capital Private Credit (BCPC), a non-traded business development company. Before joining Bain Capital, Mr. Ewald was an Associate Consultant at Bain &amp; Company and an analyst in the Regulated Industries group at Credit Suisse First Boston. He received an M.B.A. from the Amos Tuck School of Business at Dartmouth College and a B.A. from Tufts University. Mr. Ewald’s investment experience and knowledge of the credit markets are valuable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Donald Fawcett.    </w:t>
      </w:r>
      <w:r>
        <w:rPr>
          <w:rFonts w:ascii="Times New Roman PS Std;serif" w:hAnsi="Times New Roman PS Std;serif"/>
          <w:b w:val="false"/>
          <w:i w:val="false"/>
          <w:caps w:val="false"/>
          <w:smallCaps w:val="false"/>
          <w:sz w:val="20"/>
        </w:rPr>
        <w:t>Mr. Fawcett is a Managing Director in Lazard’s Global Industrials Group and is Chairman of Industrials for the Americas. He focuses on the building materials, paper and packaging and capital goods sectors, and has completed a wide range of transaction types for clients. Prior to joining Lazard in 1997, Mr. Fawcett spent three years at NTC Group and two years in the corporate finance department of Smith Barney. He graduated from Harvard College, earned a Diploma in Historical Studies from Cambridge University and has an M.B.A. from Columbia Business School. Mr. Fawcett’s investment banking experience will help the combined company pursue and acquire additional businesses and provide expertise on capital markets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Bryan Fenton.    </w:t>
      </w:r>
      <w:r>
        <w:rPr>
          <w:rFonts w:ascii="Times New Roman PS Std;serif" w:hAnsi="Times New Roman PS Std;serif"/>
          <w:b w:val="false"/>
          <w:i w:val="false"/>
          <w:caps w:val="false"/>
          <w:smallCaps w:val="false"/>
          <w:sz w:val="20"/>
        </w:rPr>
        <w:t>Gen. Fenton is a retired U.S. Army Four-Star General and career Special Forces officer. He served as the 13th Commander of U.S. Special Operations Command (USSOCOM), overseeing the global Special Operations of the U.S. Department of Defense, with command of 70,000 Army, Navy, Air Force and Marine Special Operations personnel. Prior to that role, Gen. Fenton was the Commander of the Joint Special Operations Command (JSOC) and before that served as the Senior Military Assistant (SMA) for two U.S. Secretaries of Defense. With 38 years of military service, Gen. Fenton commanded at every level of Special Operations. He deployed multiple times to Afghanistan, Iraq, as well as numerous locations in the Middle East, South America, Europe and Africa, and he served for over five years in the Indo-Pacific region. Through this global understanding, Gen. Fenton garnered invaluable experience in geostrategic and international security issues and gained a vast network of worldwide contacts. Gen. Fenton’s leadership experience in the military and his knowledge of certain of Tenax’s customers’ needs will be helpful to the combined company’s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DeWolfe Miller.    </w:t>
      </w:r>
      <w:r>
        <w:rPr>
          <w:rFonts w:ascii="Times New Roman PS Std;serif" w:hAnsi="Times New Roman PS Std;serif"/>
          <w:b w:val="false"/>
          <w:i w:val="false"/>
          <w:caps w:val="false"/>
          <w:smallCaps w:val="false"/>
          <w:sz w:val="20"/>
        </w:rPr>
        <w:t>VADM Miller is a former vice admiral in the United States Navy who retired as the Commander, Naval Air Forces (“the Air Boss”), which is also Type Commander (TYCOM) for all United States Navy aviation units, and dual-hatted as Commander, Naval Air Force, Pacific. VADM Miller’s Navy experience and his knowledge of the Navy’s needs will help the combined company serve the Navy better.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Young.    </w:t>
      </w:r>
      <w:r>
        <w:rPr>
          <w:rFonts w:ascii="Times New Roman PS Std;serif" w:hAnsi="Times New Roman PS Std;serif"/>
          <w:b w:val="false"/>
          <w:i w:val="false"/>
          <w:caps w:val="false"/>
          <w:smallCaps w:val="false"/>
          <w:sz w:val="20"/>
        </w:rPr>
        <w:t>Sec. Young has provided consulting services at companies including SpaceX, Iridium, Cubic and Palantir. He has served on the Boards of multiple companies, including Saab USA, Inc. and the Stanford Research Institute. Sec. Young served in government as Deputy Secretary for Acquisition, Technology and Logistics for the Department of Defense. Prior to that, he served on the Senate Defense Appropriations Committee staff. He has significant relationships and knowledge that are helpful for the combined company’s ability to understand and meet the needs of its government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 Donald Fawcett, Bryan Fenton, DeWolfe Miller, John Young, [•] and [•] are expected to be “independent directors” within the meaning of Item 407(a)(1) and NYSE American Rule 803A(2).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Combined Company’s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has established an Audit Committee, a Compensation Committee, a Nominating Committee and an Executive Committee, each of which operate pursuant to a charter adopted by the AIR Board. Following the consummation of the merger, the combined company will continue to have these board committees. The AIR Board may also establish other committees from time to time to assist the combined company and its board of directors.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Michael Ewald, Donald Fawcett and [•] are expected to be members of the Audit Committee. [•] is expected to serve as Chairman of the Audit Committee and is expected to qualify as an “audit committee financial expert” as that term is defined in Item 407(d)(5)(ii) of Regulation S-K. Each expected member of the Audit Committee is expected to meet the financial literacy requirements under the Sarbanes-Oxley Act and SEC rules and the independence requirements under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preparing reports, statements and charters of audit committees required by the federal securities laws, as well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monitoring the integrity of our consolidated financial statements, our compliance with legal and regulatory requirements as they relate to financial statements or accounting matters and our internal accounting and financial controls;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SEC rules require be included in our annual proxy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monitoring our independent registered public accounting firm’s qualifications, independence and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the AIR Board with the results of its monitoring and its recommendations;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to the AIR Board additional information and materials as it deems necessary to make the AIR Board aware of significant financial matters that require the attention of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Michael Ewald, Donald Fawcett, Bryan Fenton and Thomas Foley are expected to be members of the Compensation Committee. Michael Ewald and Thomas Foley are expected to serve as co-Chairmen of the 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is responsible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AIR’s general compensation policy, in consultation with senior management, and overseeing the development and implementation of compensation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corporate goals and objectives relevant to the compensation of the CEO, evaluating the performance of the CEO at least annually in light of those goals and objectives, communicating the results of such evaluation to the CEO and the AIR Board and determining the CEO’s compensation level based on this evaluation, subject to ratification by the independent directors on the AIR Board. In determining the incentive component of CEO compensation, the Compensation Committee will consider, among other factors, the performance of AIR and relative stockholder return, the value of similar incentive awards to CEOs at comparable companies, the awards given to the CEO in past years and such other factors as the Compensation Committee may determine to be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of all other executive officers of AIR, such other managers as may be directed by the AIR Board and the directors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AIR Board’s benefit and equity compensation plans, overseeing the activities of the individuals and committees responsible for administering these plans and discharging any responsibilities imposed on the Compensation Committee by any of these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issuances under, or any material amendments to, any stock option or other similar plan pursuant to which a person not previously an employee or director of AIR, as an inducement material to the individual’s entering into employment with AIR, will acquire stock or options;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consultation with management, overseeing regulatory compliance with respect to compensation matters, including overseeing AIR’s policies on structuring compensation programs to preserve related tax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any severance or similar termination payments proposed to be made to any current or former officer of AIR;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an annual report on executive compensation for inclusion in AIR’s proxy statement for the election of directors, if required under the applicable SEC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Thomas Foley, DeWolfe Miller, John Young and [•] are expected to be members of the Nominating Committee. Thomas Foley and John Young are expected to serve as co-Chairmen of the Nominating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seeks candidates for election and appointment that possess the integrity, leadership skills and competency required to direct and oversee AIR’s management in the best interests of its stockholders, customers, employees, the communities AIR serves and other affected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candidate must be willing to regularly attend meetings of the AIR Board and its committees, to develop a strong understanding of AIR, its businesses and its requirements, to contribute his or her time and knowledge to the Company and to be prepared to exercise his or her duties with skill and care. In addition, each candidate should have an understanding of all corporate governance concepts and the legal duties of a director of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contact the Nominating Committee Chairman, the Chairman of the AIR Board or the AIR’s corporate secretary in writing when proposing a nominee. This correspondence should include a detailed description of the proposed nominee’s qualifications and a method to contact that nominee if the Nominating Committee so chooses.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Taran Bakker, Thomas Foley and Jim Linder are expected to be members of the Executive Committee. Thomas Foley is expected to serve as Chairman of the Executive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Executive Committee is to assist the AIR Board in fulfilling its functions during the intervals between meetings of the AIR Board. The Executive Committee has all the powers and authority of the AIR Board in connection with the business of the Company and may act in its stead, except as set forth in the Executive Committee’s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adopted a written code of ethics that applies to our principal executive officers, senior financial officers and persons performing similar functions. This policy will apply to the principal executive officers, senior financial officers and persons performing similar functions at the combined company following the closing of the merger. AIR’s code of ethics is available on our website, and, upon written request to AIR’s corporate secretary, we will provide you with a copy without cost.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member of the Compensation Committee following the closing of the merger will be a “non-employee” director within the meaning of Rule 16b-3 of the rules promulgated under the Exchange Act. None of the proposed combined company’s executive officers serves as a member of the board of directors or compensation committee of any entity that has one or more executive officers who is proposed to serve on the combined company’s board of directors or compensation committee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AIR’s non-employee directors are entitled to receive compensation for serving as directors and may receive option grants from the Company. Each director also is entitled to be repaid or prepaid all traveling, hotel and incidental expenses reasonably incurred or expected to be incurred in attending meetings of the AIR Board or committees of the AIR Board or stockholder meetings or otherwise in connection with the discharge of his or her duties as a director.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consummation of the merger, it is expected that the combined company will continue to provide cash and equity compensation to non-employee directors and will continue to repay or prepay all traveling, hotel and incidental expenses reasonably incurred or expected to be incurred in attending meetings of the AIR Board or committees of the AIR Board or stockholder meetings or otherwise in connection with the discharge of his or her duties as a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4" w:name="T9974"/>
      <w:bookmarkEnd w:id="74"/>
      <w:r>
        <w:rPr>
          <w:rFonts w:ascii="Times New Roman PS Std;serif" w:hAnsi="Times New Roman PS Std;serif"/>
          <w:b/>
          <w:i w:val="false"/>
          <w:caps w:val="false"/>
          <w:smallCaps w:val="false"/>
          <w:sz w:val="20"/>
        </w:rPr>
        <w:t xml:space="preserve">EXECUTIVE OFFICER AND DIRECTOR COMPENSATION OF THE COMBINED COMPANY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Compensation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historical compensation information pursuant to Item 402 of Regulation S-K for Jim Linder, Ignacio Ladegui and Alan Oswalt in their capacity as executive officers of Tenax. Gen. Linder and Messrs. Ladegui and Oswalt are the named executive officers of Tenax, as determined in accordance with Item 402 of Regulation S-K, with Gen. Linder serving as Tenax’s principal executive officer and Mr. Ladegui serving as Tenax’s principal financial officer. Gen. Linder and Messrs. Ladegui and Oswalt will serve as executive officers of AIR following the merger.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Compensation Table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annual compensation for Jim Linder, Ignacio Ladegui and Alan Oswalt during Tenax’s fiscal years ending December 31, 2025 and December 31, 2024.</w:t>
      </w:r>
    </w:p>
    <w:tbl>
      <w:tblPr>
        <w:tblW w:w="10205" w:type="dxa"/>
        <w:jc w:val="left"/>
        <w:tblInd w:w="0" w:type="dxa"/>
        <w:tblLayout w:type="fixed"/>
        <w:tblCellMar>
          <w:top w:w="0" w:type="dxa"/>
          <w:left w:w="0" w:type="dxa"/>
          <w:bottom w:w="0" w:type="dxa"/>
          <w:right w:w="0" w:type="dxa"/>
        </w:tblCellMar>
      </w:tblPr>
      <w:tblGrid>
        <w:gridCol w:w="2108"/>
        <w:gridCol w:w="146"/>
        <w:gridCol w:w="646"/>
        <w:gridCol w:w="146"/>
        <w:gridCol w:w="286"/>
        <w:gridCol w:w="1246"/>
        <w:gridCol w:w="146"/>
        <w:gridCol w:w="336"/>
        <w:gridCol w:w="1469"/>
        <w:gridCol w:w="146"/>
        <w:gridCol w:w="364"/>
        <w:gridCol w:w="1440"/>
        <w:gridCol w:w="146"/>
        <w:gridCol w:w="286"/>
        <w:gridCol w:w="1294"/>
      </w:tblGrid>
      <w:tr>
        <w:trPr/>
        <w:tc>
          <w:tcPr>
            <w:tcW w:w="21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Salary(1) </w:t>
              <w:br/>
              <w:t>($)</w:t>
            </w:r>
          </w:p>
        </w:tc>
        <w:tc>
          <w:tcPr>
            <w:tcW w:w="146" w:type="dxa"/>
            <w:tcBorders/>
            <w:vAlign w:val="bottom"/>
          </w:tcPr>
          <w:p>
            <w:pPr>
              <w:pStyle w:val="TableContents"/>
              <w:bidi w:val="0"/>
              <w:spacing w:before="0" w:after="283"/>
              <w:jc w:val="left"/>
              <w:rPr/>
            </w:pPr>
            <w:r>
              <w:rPr/>
              <w:t> </w:t>
            </w:r>
          </w:p>
        </w:tc>
        <w:tc>
          <w:tcPr>
            <w:tcW w:w="18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Compensation(2) </w:t>
              <w:br/>
              <w:t>($)</w:t>
            </w:r>
          </w:p>
        </w:tc>
        <w:tc>
          <w:tcPr>
            <w:tcW w:w="146"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Compensation(3) </w:t>
              <w:br/>
              <w:t>($)</w:t>
            </w:r>
          </w:p>
        </w:tc>
        <w:tc>
          <w:tcPr>
            <w:tcW w:w="146"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1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501,188.44</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232,034.00</w:t>
            </w:r>
          </w:p>
        </w:tc>
        <w:tc>
          <w:tcPr>
            <w:tcW w:w="14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753,042.44</w:t>
            </w:r>
          </w:p>
        </w:tc>
      </w:tr>
      <w:tr>
        <w:trPr/>
        <w:tc>
          <w:tcPr>
            <w:tcW w:w="21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Tenax</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483,455.91</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174,608.00</w:t>
            </w:r>
          </w:p>
        </w:tc>
        <w:tc>
          <w:tcPr>
            <w:tcW w:w="14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677,863.91</w:t>
            </w:r>
          </w:p>
        </w:tc>
      </w:tr>
      <w:tr>
        <w:trPr/>
        <w:tc>
          <w:tcPr>
            <w:tcW w:w="21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385,875.00</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179,193.00</w:t>
            </w:r>
          </w:p>
        </w:tc>
        <w:tc>
          <w:tcPr>
            <w:tcW w:w="146"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588,248.00</w:t>
            </w:r>
          </w:p>
        </w:tc>
      </w:tr>
      <w:tr>
        <w:trPr/>
        <w:tc>
          <w:tcPr>
            <w:tcW w:w="21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and Chief Financial Officer, Tenax</w:t>
            </w:r>
          </w:p>
        </w:tc>
        <w:tc>
          <w:tcPr>
            <w:tcW w:w="146" w:type="dxa"/>
            <w:tcBorders/>
            <w:vAlign w:val="bottom"/>
          </w:tcPr>
          <w:p>
            <w:pPr>
              <w:pStyle w:val="TableContents"/>
              <w:bidi w:val="0"/>
              <w:spacing w:before="0" w:after="283"/>
              <w:jc w:val="left"/>
              <w:rPr/>
            </w:pPr>
            <w:r>
              <w:rPr/>
              <w:t> </w:t>
            </w:r>
          </w:p>
        </w:tc>
        <w:tc>
          <w:tcPr>
            <w:tcW w:w="646" w:type="dxa"/>
            <w:tcBorders/>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365,312.49</w:t>
            </w:r>
          </w:p>
        </w:tc>
        <w:tc>
          <w:tcPr>
            <w:tcW w:w="146" w:type="dxa"/>
            <w:tcBorders/>
          </w:tcPr>
          <w:p>
            <w:pPr>
              <w:pStyle w:val="TableContents"/>
              <w:bidi w:val="0"/>
              <w:spacing w:before="0" w:after="283"/>
              <w:jc w:val="left"/>
              <w:rPr/>
            </w:pPr>
            <w:r>
              <w:rPr/>
              <w:t> </w:t>
            </w:r>
          </w:p>
        </w:tc>
        <w:tc>
          <w:tcPr>
            <w:tcW w:w="33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139,650.00</w:t>
            </w:r>
          </w:p>
        </w:tc>
        <w:tc>
          <w:tcPr>
            <w:tcW w:w="146" w:type="dxa"/>
            <w:tcBorders/>
          </w:tcPr>
          <w:p>
            <w:pPr>
              <w:pStyle w:val="TableContents"/>
              <w:bidi w:val="0"/>
              <w:spacing w:before="0" w:after="283"/>
              <w:jc w:val="left"/>
              <w:rPr/>
            </w:pPr>
            <w:r>
              <w:rPr/>
              <w:t> </w:t>
            </w:r>
          </w:p>
        </w:tc>
        <w:tc>
          <w:tcPr>
            <w:tcW w:w="364"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22,980.00</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527,942.49</w:t>
            </w:r>
          </w:p>
        </w:tc>
      </w:tr>
      <w:tr>
        <w:trPr/>
        <w:tc>
          <w:tcPr>
            <w:tcW w:w="21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387,534.88</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179,416.00</w:t>
            </w:r>
          </w:p>
        </w:tc>
        <w:tc>
          <w:tcPr>
            <w:tcW w:w="14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580,950.88</w:t>
            </w:r>
          </w:p>
        </w:tc>
      </w:tr>
      <w:tr>
        <w:trPr/>
        <w:tc>
          <w:tcPr>
            <w:tcW w:w="21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of Operations, Tenax</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374,092.32</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127,511.00</w:t>
            </w:r>
          </w:p>
        </w:tc>
        <w:tc>
          <w:tcPr>
            <w:tcW w:w="14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515,403.32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in this column reflect the base salary earned by each executive officer during the applicable fiscal year.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in this column reflect the annual cash incentive compensation earned by each executive officer for the applicable fiscal year.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in this column reflect 401(k) matching contributions and reimbursements of medical insurance premiums made by Tenax on behalf of each executive officer during the applicable fiscal year.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Narrative to Summary Compensation Table</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Gen. Linder and Messrs. Ladegui and Oswalt has entered into an employment agreement with Tenax or one of its affiliates in connection with his service as an executive officer. In addition to the terms described below, each agreement provides for the employee to receive a base salary, subject to subsequent adjustments, be eligible for an annual bonus and eligibility for various customary benefit plans and arrangements. Each agreement also contains customary confidentiality covenants and restrictions on the executive’s ability to compete with Tenax or solicit Tenax employees or customers both during employment and during a specified period thereafter.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 Linder’s employment agreement is with Tenax Aerospace Holdings, LLC, is effective as of January 13, 2020 and provides that Gen. Linder will serve as President of Tenax. The agreement provides for an initial two-year term, with automatic one-year renewals unless terminated by either party with 90 days’ prior written notice.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Ladegui’s employment agreement is with Tenax TM, LLC, is effective as of March 2023 and provides that Mr. Ladegui will serve as Chief Financial Officer of Tenax. The agreement provides for an initial one-year term, with automatic one-year renewals unless terminated by either party with 30 days’ prior written notice. In addition, Mr. Ladegui’s employment agreement provides him with the option to purchase up to 1% of the equity in Tenax Aerospace Acquisition, LLC for $500,000, subject to a one-year vesting program. Mr. Ladegui exercised such option and the equity has since vested.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Oswalt’s employment agreement is with Tenax Aerospace Holdings, LLC, is effective as of approximately January 8, 2018 and provides that Mr. Oswalt will serve as Executive Vice President of Operations of Tenax. The agreement provides for an initial two-year term, with automatic one-year renewals unless terminated by either party with 90 days’ prior written notice.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Potential Payments Upon Termination or a 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agreements for Gen. Linder and Messrs. Ladegui and Oswalt each provide for certain payments and benefits upon a termination of employment. In the event of a termination by the Company without “Cause” or by the executive due to “Constructive Termination”, the executive is entitled to receive: (i) continued payment of his base salary for six months for Mr. Oswalt, two months for Mr. Ladegui and, in the case of Gen. Linder, a period at the discretion of the Company; (ii) continued health insurance for six months for Messrs. Oswalt and Ladegui and, in the case of Gen. Linder, a period at the discretion of the Company; and (iii) at the discretion of the Board (or the President in the case of Mr. Ladegui), a prorated bonus based on actual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executive’s termination of employment occurs within two years following a “Change of Control”, the executive is entitled to receive, in addition to the severance amounts described above, a payment equal to 2.49 times the executive’s base salary (but not to exceed 2.99 times the executive’s base salary when combined with the severance amounts described above), reduced by the amount by which any payments received from stock options or equity ownership of the Company resulting from the Change of Control exceed $1 million. For purposes of each agreement, a “Change of Control” means the consummation of a transaction or series of related transactions resulting in (1) any person or group unaffiliated with the current owners of the Company acquiring 51% or more of the membership interests entitled to vote for the election of directors to the Board, or (2) the sale of 51% or more of the Company’s assets, exclusive of sale/leaseback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and Taran Bakker served as Tenax’s non-employee directors during the fiscal year ended December 31, 2025. Neither Mr. Foley nor Mr. Bakker received any compensation from Tenax for their service as directors during the fiscal year. Mr. Foley and Mr. Bakker are partners of NTC Group and receive no separate compensation from Tenax for their service on the Tenax Board. Information regarding compensation paid to AIR’s non-employee directors during the fiscal year ended December 31, 2025 is available in AIR’s annual, quarterly and current reports, proxy statements and other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5" w:name="T9975"/>
      <w:bookmarkEnd w:id="75"/>
      <w:r>
        <w:rPr>
          <w:rFonts w:ascii="Times New Roman PS Std;serif" w:hAnsi="Times New Roman PS Std;serif"/>
          <w:b/>
          <w:i w:val="false"/>
          <w:caps w:val="false"/>
          <w:smallCaps w:val="false"/>
          <w:sz w:val="20"/>
        </w:rPr>
        <w:t xml:space="preserve">CERTAIN RELATIONSHIPS AND RELATED PARTY TRANSACTIONS OF THE COMBINED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compensation arrangements, including employment, termination of employment and change in control arrangements, with the combined company’s expected directors and executive officers, including those discussed in the sections titled “Management and Directors of the Combined Company” and “Executive Officer and Director Compensation of the Combined Company”, the following is a summary of transactions since January 1, 2025, and all currently proposed transactions, to which either AIR or Tenax has been a participant, in which (a) the amounts exceeded or will exceed $120,000 and (b) any of the directors, executive officers or holders of more than 5% of the respective capital stock, or an affiliate or any member of the immediate family of the foregoing persons, had or will have a direct or indirect material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Subordinated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AIR repaid $1,041,000 of subordinated notes and incurred interest expense of $356,000 in respect of the subordinated notes held by Michael Taglich and Robert Taglich, who currently serve as directors on the AIR Board, and certain of their affiliates. As of December 31, 2025, Michael Taglich and Robert Taglich held subordinated notes in the aggregate principal amount of $4,871,000 as a result of transactions entered into prior to January 2025. Of the $4,871,000, approximately $2,519,000 bears an annual rate of interest of 6%, $1,802,000 bears an annual rate of 7% and $550,000 bears an annual interest rate of 12%. Of the $4,871,000, approximately $2,519,000 can be converted at the option of the holder into AIR common stock at $15.00 per share and $1,802,000 can be converted at the option of the holder into our common stock at $9.30 per share (in each case, before giving effect to the reverse stock split). The remaining $550,000 is not convertible. All subordinated notes held by Michael Taglich and Robert Taglich will be repaid at closing pursuant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Stockholder Support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all current directors and executive officers of AIR entered into the AIR Stockholder Support Agreement, pursuant to which such stockholders agreed to vote all shares of AIR common stock owned by them as of the record date in favor of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Member Support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NEH, an affiliate of each of Tenax, Thomas Foley, Chairman of Tenax, and Taran Bakker, a member of the Tenax Board, entered into the Tenax Member Support Agreement, pursuant to which NEH agreed to vote or consent with respect to all Tenax units owned by it in a manner so as to facilitate the consummation of the merger and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AIR and Thomas Foley, Chairman of Tenax, and Taran Bakker, a member of the Tenax Board, entered into lock-up agreements restricting transfers of AIR common stock held directly or indirectly by Mr. Foley and Mr. Bakker for 180 days after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Services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Tenax Aerospace Holdings, LLC, a wholly owned subsidiary of Tenax, entered into a Management Services Agreement with NTC Group, an affiliate of each of Thomas Foley and Taran Bakker, pursuant to which NTC Group provides general management, financial and other corporate advisory services to Tenax and its subsidiaries. In exchange for such services, Tenax pays NTC Group a management fee in an amount per annum equal to 5% of Tenax’s Consolidated Adjusted EBITDA (as defined in the Tenax Credit Agreement) for the prior 12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NTC Aviation Dry Lease Agreements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Dassault Falcon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Tenax entered into a Non-Exclusive Aircraft Dry Lease Agreement with NTC Aviation, LLC (“</w:t>
      </w:r>
      <w:r>
        <w:rPr>
          <w:rFonts w:ascii="Times New Roman PS Std;serif" w:hAnsi="Times New Roman PS Std;serif"/>
          <w:b w:val="false"/>
          <w:i w:val="false"/>
          <w:caps w:val="false"/>
          <w:smallCaps w:val="false"/>
          <w:sz w:val="20"/>
          <w:u w:val="single"/>
        </w:rPr>
        <w:t>NTC Aviation</w:t>
      </w:r>
      <w:r>
        <w:rPr>
          <w:rFonts w:ascii="Times New Roman PS Std;serif" w:hAnsi="Times New Roman PS Std;serif"/>
          <w:b w:val="false"/>
          <w:i w:val="false"/>
          <w:caps w:val="false"/>
          <w:smallCaps w:val="false"/>
          <w:sz w:val="20"/>
        </w:rPr>
        <w:t>”), an affiliate of Thomas Foley, pursuant to which NTC Aviation agreed to lease to Tenax, on a non-exclusive, flight-by-flight basis and without crew, one Dassault Aviation model Falcon 2000EX aircraft. The agreement provides for an initial term of one year, with automatic renewals for additional one-year periods unless earlier terminated, and permits either party to terminate the lease without cause upon 30 days’ written notice. Under the agreement, Tenax is required to pay NTC Aviation hourly rent, including fuel, plus all other costs for flights conducted by Tenax, including ramp fees, landing fees, local fees, catering, entertainment, pilot fees and expenses, crew accommodations and post-flight maintenance, with any such expenses incurred by NTC Aviation to be billed monthly in addition to the hourly rent.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Beechcraft King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19, 2024, Tenax entered into a separate Non-Exclusive Aircraft Dry Lease Agreement with NTC Aviation, pursuant to which NTC Aviation agreed to lease to Tenax, on a non-exclusive, flight-by-flight basis and without crew, one Beechcraft King Air C90GT aircraft. The agreement similarly provides for an initial term of one year, with automatic renewals for additional one-year periods unless earlier terminated, and permits either party to terminate the lease without cause upon 30 days’ written notice. Under the agreement, Tenax is required to pay NTC Aviation hourly rent, including fuel, plus all other costs for flights conducted by Tenax, including ramp fees, landing fees, local fees, catering, entertainment, pilot fees and expenses, crew accommodations and post-flight maintenance, with any such expenses incurred by NTC Aviation to be billed monthly in addition to the hourly rent.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Promissory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 President of Tenax, Ignacio Ladegui, Executive Vice President and Chief Financial Officer of Tenax, and Alan Oswalt, Executive Vice President of Operations of Tenax, each of whom will serve as an executive officer of the combined company following the merger, hold membership interests in Tenax indirectly through Managers Equity, LLC (“</w:t>
      </w:r>
      <w:r>
        <w:rPr>
          <w:rFonts w:ascii="Times New Roman PS Std;serif" w:hAnsi="Times New Roman PS Std;serif"/>
          <w:b w:val="false"/>
          <w:i w:val="false"/>
          <w:caps w:val="false"/>
          <w:smallCaps w:val="false"/>
          <w:sz w:val="20"/>
          <w:u w:val="single"/>
        </w:rPr>
        <w:t>Managers Equity</w:t>
      </w:r>
      <w:r>
        <w:rPr>
          <w:rFonts w:ascii="Times New Roman PS Std;serif" w:hAnsi="Times New Roman PS Std;serif"/>
          <w:b w:val="false"/>
          <w:i w:val="false"/>
          <w:caps w:val="false"/>
          <w:smallCaps w:val="false"/>
          <w:sz w:val="20"/>
        </w:rPr>
        <w:t>”), a holding vehicle for Tenax management. Messrs. Linder, Ladegui and Oswalt acquired their membership interests directly from Tenax, in each case funded by promissory notes payable to Tenax that were issued as set forth in the following table (collectively, the “</w:t>
      </w:r>
      <w:r>
        <w:rPr>
          <w:rFonts w:ascii="Times New Roman PS Std;serif" w:hAnsi="Times New Roman PS Std;serif"/>
          <w:b w:val="false"/>
          <w:i w:val="false"/>
          <w:caps w:val="false"/>
          <w:smallCaps w:val="false"/>
          <w:sz w:val="20"/>
          <w:u w:val="single"/>
        </w:rPr>
        <w:t>Individual Notes</w:t>
      </w:r>
      <w:r>
        <w:rPr>
          <w:rFonts w:ascii="Times New Roman PS Std;serif" w:hAnsi="Times New Roman PS Std;serif"/>
          <w:b w:val="false"/>
          <w:i w:val="false"/>
          <w:caps w:val="false"/>
          <w:smallCaps w:val="false"/>
          <w:sz w:val="20"/>
        </w:rPr>
        <w:t>”).</w:t>
      </w:r>
    </w:p>
    <w:tbl>
      <w:tblPr>
        <w:tblW w:w="7758" w:type="dxa"/>
        <w:jc w:val="left"/>
        <w:tblInd w:w="0" w:type="dxa"/>
        <w:tblLayout w:type="fixed"/>
        <w:tblCellMar>
          <w:top w:w="0" w:type="dxa"/>
          <w:left w:w="0" w:type="dxa"/>
          <w:bottom w:w="0" w:type="dxa"/>
          <w:right w:w="0" w:type="dxa"/>
        </w:tblCellMar>
      </w:tblPr>
      <w:tblGrid>
        <w:gridCol w:w="1246"/>
        <w:gridCol w:w="146"/>
        <w:gridCol w:w="286"/>
        <w:gridCol w:w="946"/>
        <w:gridCol w:w="146"/>
        <w:gridCol w:w="336"/>
        <w:gridCol w:w="1464"/>
        <w:gridCol w:w="146"/>
        <w:gridCol w:w="661"/>
        <w:gridCol w:w="839"/>
        <w:gridCol w:w="146"/>
        <w:gridCol w:w="1396"/>
      </w:tblGrid>
      <w:tr>
        <w:trPr/>
        <w:tc>
          <w:tcPr>
            <w:tcW w:w="1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Original </w:t>
              <w:br/>
              <w:t>Amount</w:t>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 xml:space="preserve">Outstanding as </w:t>
              <w:br/>
              <w:t xml:space="preserve">of June 30, </w:t>
              <w:br/>
              <w:t>2026</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 Rate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Issued</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Linder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943,890.41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Ladegui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566,027.40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Oswalt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137,479.45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Individual Note is secured by a pledge of the related membership interests in Tenax and matures thirty days following the applicable borrower’s receipt of cash payment for the related membership interests in Tenax, except that 25% of the principal balance is due on the tenth anniversary of the issuance of the relevant Individual Note.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October 2022 and January 2024, Messrs. Linder, Ladegui and Oswalt contributed their membership interests in Tenax to Managers Equity in exchange for membership interests in Managers Equity. In connection with those contributions, Tenax assigned the Individual Notes to Managers Equity and each such Individual Note remains an outstanding obligation of Messrs. Linder, Ladegui and Oswalt payable to Managers Equity. Concurrently with these assignments, Managers Equity issued to Tenax a series of consolidated promissory notes, the currently operative of which is dated January 1, 2024 (the “</w:t>
      </w:r>
      <w:r>
        <w:rPr>
          <w:rFonts w:ascii="Times New Roman PS Std;serif" w:hAnsi="Times New Roman PS Std;serif"/>
          <w:b w:val="false"/>
          <w:i w:val="false"/>
          <w:caps w:val="false"/>
          <w:smallCaps w:val="false"/>
          <w:sz w:val="20"/>
          <w:u w:val="single"/>
        </w:rPr>
        <w:t>Consolidated Note</w:t>
      </w:r>
      <w:r>
        <w:rPr>
          <w:rFonts w:ascii="Times New Roman PS Std;serif" w:hAnsi="Times New Roman PS Std;serif"/>
          <w:b w:val="false"/>
          <w:i w:val="false"/>
          <w:caps w:val="false"/>
          <w:smallCaps w:val="false"/>
          <w:sz w:val="20"/>
        </w:rPr>
        <w:t xml:space="preserve">”) and has a principal amount of $2,062,500, of which $1,375,000 is attributable to Messrs. Linder, Ladegui and Oswalt and the balance of which is attributable to other members of Managers Equity, none of whom will serve as directors or executive officers of the combined company. The Consolidated Note accrues interest monthly at a rate of 4.0% on the unpaid principal balance, matures thirty days following Managers Equity’s receipt of cash payment for its membership interests in Tenax, is secured by a pledge of Managers Equity’s membership interests in Tenax, and requires that all cash provided by any members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 Equity toward payment of principal or accrued interest be remitted to Tenax immediately. Since January 1, 2024, no payments of principal or interest have been made on the Consolidated Note, and, as of June 30, 2026, the largest aggregate principal amount outstanding during such period was $2,062,500. As of June 30, 2026, $2,062,500 of principal and $385,924.66 of accrued and unpaid interest were outstanding under the Consolidated Note, of which $193,980.41, $66,027.40 and $12,479.45 were attributable to the amounts loaned in respect of the membership interests of Messrs. Linder, Ladegui and Oswalt,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between April 2024 and June 2026, Mr. Ladegui issued four unsecured promissory notes to Tenax Aerospace Holdings, LLC (“</w:t>
      </w:r>
      <w:r>
        <w:rPr>
          <w:rFonts w:ascii="Times New Roman PS Std;serif" w:hAnsi="Times New Roman PS Std;serif"/>
          <w:b w:val="false"/>
          <w:i w:val="false"/>
          <w:caps w:val="false"/>
          <w:smallCaps w:val="false"/>
          <w:sz w:val="20"/>
          <w:u w:val="single"/>
        </w:rPr>
        <w:t>TAH</w:t>
      </w:r>
      <w:r>
        <w:rPr>
          <w:rFonts w:ascii="Times New Roman PS Std;serif" w:hAnsi="Times New Roman PS Std;serif"/>
          <w:b w:val="false"/>
          <w:i w:val="false"/>
          <w:caps w:val="false"/>
          <w:smallCaps w:val="false"/>
          <w:sz w:val="20"/>
        </w:rPr>
        <w:t>”), a wholly owned subsidiary of Tenax, in the aggregate principal amount of $362,635, evidencing loans made to fund tax liabilities attributable to his indirect membership interest in Tenax, in lieu of tax distributions (collectively, the “</w:t>
      </w:r>
      <w:r>
        <w:rPr>
          <w:rFonts w:ascii="Times New Roman PS Std;serif" w:hAnsi="Times New Roman PS Std;serif"/>
          <w:b w:val="false"/>
          <w:i w:val="false"/>
          <w:caps w:val="false"/>
          <w:smallCaps w:val="false"/>
          <w:sz w:val="20"/>
          <w:u w:val="single"/>
        </w:rPr>
        <w:t>Ladegui Tax Notes</w:t>
      </w:r>
      <w:r>
        <w:rPr>
          <w:rFonts w:ascii="Times New Roman PS Std;serif" w:hAnsi="Times New Roman PS Std;serif"/>
          <w:b w:val="false"/>
          <w:i w:val="false"/>
          <w:caps w:val="false"/>
          <w:smallCaps w:val="false"/>
          <w:sz w:val="20"/>
        </w:rPr>
        <w:t>”). Each Ladegui Tax Note accrues interest annually at a rate of 4.0% on the unpaid principal balance and matures thirty days following Mr. Ladegui’s receipt of cash payment for his membership interest in Tenax, except that 25% of the principal balance is due on the tenth anniversary of the note if not previously repaid. Since the issuance of the Ladegui Tax Notes, no payments of principal or interest have been made on the Ladegui Tax Notes, and, as of June 30, 2026, the largest aggregate principal amount outstanding was $362,635. As of June 30, 2026, $379,540.04 in aggregate principal and accrued interest was outstanding under the Ladegui Tax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the merger, Tenax expects that the promissory notes described above will be repaid or transferred to one or more persons that will not be subsidiaries of AIR following the merger, and that any pledges or security interests securing such notes will be released in connection therewith, such that, following the closing, neither AIR nor any of its subsidiaries will hold indebtedness of any director or executive officer of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6" w:name="T9976"/>
      <w:bookmarkEnd w:id="76"/>
      <w:r>
        <w:rPr>
          <w:rFonts w:ascii="Times New Roman PS Std;serif" w:hAnsi="Times New Roman PS Std;serif"/>
          <w:b/>
          <w:i w:val="false"/>
          <w:caps w:val="false"/>
          <w:smallCaps w:val="false"/>
          <w:sz w:val="20"/>
        </w:rPr>
        <w:t xml:space="preserve">DESCRIPTION OF AIR CAPITAL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of AIR’s capital stock is not complete and is qualified in its entirety by reference to the articles and incorporation and bylaws of AIR. AIR encourages you to read AIR’s articles of incorporation, AIR’s bylaws and the applicable provisions of the NRS for additional information. The following information does not give effect to the proposed amendment to the articles of incorporation of AIR contemplated by the authorized shares proposal, the reverse stock split or any other stock split or similar transaction. Pursuant to the merger agreement, and subject to receipt of the requisite AIR stockholder approvals, AIR is obligated to file an amendment to the articles of incorporation of AIR, which will increase the number of authorized shares of AIR common stock from 20,000,000 to 200,000,000, and to effect the reverse stock split, which will subsequently decrease the number of authorized shares of AIR common stock to 40,000,000, in each case prior to the closing. The number of authorized shares of AIR preferred stock will remain 3,000,000. Please refer to the sections entitled “Proposal 2 — Approval of the Authorized Shares Proposal” and “Proposal 3 — Approval of the Written Consent Proposal” beginning on page 35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authorized capital stock consists of 20,000,000 shares of common stock, par value $0.001 per share, and 3,000,000 shares of preferred stock, par value $0.001 per share. As of March 31, 2026, there were 4,850,658 shares of common stock issued and outstanding and no shares of preferred stock issued and outstanding. The outstanding shares of AIR common stock are duly authorized, validly issued, fully paid and nonassessable.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are entitled to one vote per share on all matters submitted to a stockholder vote, including the election of directors. Holders of our common stock do not have cumulative voting rights. Therefore, holders of a majority of the shares of our common stock voting for the election of directors will be able collectively to elect all of the directors. Certain fundamental corporate changes, such as a liquidation, a merger or an amendment to our articles of incorporation, require the approval of the holders of certain proportions of the voting power of AIR common stock prescribed by the NRS and our articles of incorporation and bylaws for the particular corporate change. For the votes required to approve the amendments to our articles of incorporation to be voted on at the special meeting, see the sections entitled “Information About the Special Meeting — Proposal 2 — Approval of the Authorized Shares Proposal” and “Information About the Special Meeting — Proposal 3 — Approval of the Written Consent Proposal” beginning on page 35 of this proxy statement/prospectus. In the event of liquidation, dissolution or winding up of our company, either voluntarily or involuntarily, each outstanding share of our common stock will be entitled to share equally in our remaining assets legally available therefor.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do not have preemptive, conversion, subscription or exchange rights, and there are no sinking fund or redemption provisions applicable to our common stock. Holders of our common stock are entitled to receive dividends and other distributions when and as declared by the AIR Board out of funds legally available therefor.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offered hereby will, when issued, be fully paid and non-assessable.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incorporation give the AIR Board the power to issue shares of preferred stock in one or more series without stockholder approval. The AIR Board has the discretion to determine the rights, preferences, privileges and restrictions, including voting rights, dividend rights, conversion rights, redemption privileges and liquidation preferences, of each series of preferred stock. The issuance of preferred stock, while providing desirable flexibility in connection with possible acquisitions and other corporate purposes, could have the effect of making it more difficult for a third party to acquire, or could discourage a third party from acquiring, a majority of a corporation’s outstanding voting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articles of incorporation provide that the AIR Board may, by resolution, designate classes or series of preferred stock in the future. Each designated class or series of preferred stock shall have such powers, designations, preferences and relative, participation or optional or other special rights and qualifications, limitations or restrictions as shall be expressed in the resolution adopted by the AIR Board and the related certificate of designation for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or series. Prior to the issuance of shares of each class or series of preferred stock, the AIR Board is required by NRS Chapter 78 and our articles of incorporation to adopt resolutions and file a certificate of designation with the Nevada Secretary of State.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AIR Board has no intention at the present time of doing so, it could authorize the issuance of a series of preferred stock that could, depending on the terms of such series, impede the completion of a merger, tender offer or other takeover attempt.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future issuance of preferred stock may have the effect of delaying, deferring or preventing a change in control of us without further action by the stockholders and may adversely affect the voting and/or other rights of the holders of common stock or any other securities we may issue in the future. The issuance of shares of preferred stock, or the issuance of rights to purchase such shares, could be used to discourage an unsolicited acquisition proposal. For instance, the issuance of a series of preferred stock might impede a business combination by including class voting rights that would enable the holders to block such a transaction or facilitate a business combination by including voting rights that would provide a required percentage vote of the stockholders. In addition, under certain circumstances, the issuance of preferred stock could adversely affect the voting power of the holders of the common stock. Although the AIR Board is required to make any determination to issue such stock based on its judgment and in accordance with its fiduciary duties under the NRS, the AIR Board could act in a manner that could have the effect of discouraging an acquisition attempt or other transaction that some, or a majority, of the stockholders might believe to be in their best interests or in which stockholders might receive a premium for their stock over the then market price of such stock. The AIR Board does not at present intend to seek stockholder approval prior to any issuance of authorized preferred stock, unless otherwise required by law.</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NRS and AIR’s Articles of Incorporation and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incorporation, our bylaws and the NRS contain provisions that could delay or make more difficult an acquisition of control of our company not approved by the AIR Board, whether by means of a tender offer, open market purchases, proxy contests or otherwise. These provisions have been implemented to enable us to develop our business in a manner that will foster our long-term growth without disruption caused by the threat of a takeover not deemed by the AIR Board to be in the best interest of the Company. These provisions could have the effect of discouraging third parties from making proposals involving an acquisition or change of control of the Company even if such a proposal, if made, might be considered desirable by a majority of our stockholders. These provisions may also have the effect of making it more difficult for third parties to cause the replacement of our current management without the concurrence of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description of the provisions contained in our articles of incorporation, bylaws and the NRS that could impede or delay an acquisition of control of the Company that the AIR Board has not approved. This description is intended as a summary only and is qualified in its entirety by reference to the NRS and our articles of incorporation and bylaws.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But Unissued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authorized to issue a total of 3,000,000 shares of preferred stock. Our articles of incorporation provide that the AIR Board may designate and issue preferred stock without any action of the stockholders. In the event of a hostile takeover, the AIR Board could potentially use this preferred stock to defend the Company’s interests in a threat or proposal involving an acquisition or change of control of the Company even if such a proposal, if made, might be considered desirable by a majority of our stockholders.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Filling Vacancies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and our articles of incorporation establish that any vacancies on the AIR Board shall be filled solely by the affirmative vote of a majority of the remaining directors then in office, even though less than a quorum of the board</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Removal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provisions of the NRS and our bylaws may make it difficult for our stockholders to remove one or more of our directors. Our bylaws provide that any director may be removed from office, with or without cause, at any time by the affirmative vote of stockholders holding of record in the aggregate at least two-thirds of the outstanding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stock of AIR. NRS 78.335 provides that any director or one or more of the incumbent directors may be removed as a director only by the vote of stockholders representing not less than two-thirds of the voting power of the issued and outstanding stock entitled to vote.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Cumulative Voting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permits cumulative voting in director elections, but only if so provided in a corporation’s articles of incorporation. Our articles of incorporation do not provide the right to cumulate votes in the election of directors. This provision means that the holders of a plurality of the shares voting for the election of directors collectively can elect all of the directors, which could have the effect of making it more difficult for minority stockholders to elect a person to the AIR Board.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Amendments to Articles of Incorporation and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and our articles of incorporation and bylaws give both the AIR Board and the stockholders the power to adopt, amend or repeal the bylaws of the corporation. The stockholders may adopt, alter, amend, change or repeal the bylaws if the proposal thereof is considered by the stockholders at an annual stockholders meeting or a special meeting called, wholly or in part, for such purpose, and the votes cast by the stockholders for the proposal exceeds the votes cast against the proposal. Any bylaw, including any bylaw that has been adopted by the stockholders, may be amended or repealed by the AIR Board unless otherwise prohibited by a bylaw adopted by the stockholders. Except for certain changes in connection with stock splits and a plan of merger, any proposal to amend, alter, change or repeal any provision of our articles of incorporation requires approval by a majority of the voting power of all of the classes of our capital stock entitled to vote on such amendment or repeal, voting together as a single class, and, if the proposed amendment would adversely alter or change any preference or any relative or other right of any class or series of outstanding shares, then also by the holders of shares representing a majority of the voting power of each class adversely affected.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trades on the NYSE American under the symbol “AIRI”.</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of AIR common stock is Broadridge Corporate Issuer Solutions. Its address is 51 Mercedes Way, Edgewood, New York 11717, and its telephone number is (631) 254-7400.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7" w:name="T9977"/>
      <w:bookmarkEnd w:id="77"/>
      <w:r>
        <w:rPr>
          <w:rFonts w:ascii="Times New Roman PS Std;serif" w:hAnsi="Times New Roman PS Std;serif"/>
          <w:b/>
          <w:i w:val="false"/>
          <w:caps w:val="false"/>
          <w:smallCaps w:val="false"/>
          <w:sz w:val="20"/>
        </w:rPr>
        <w:t xml:space="preserve">MARKET PRICE AND DIVIDEND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 Share Market Price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trades on NYSE American under the symbol “AIRI”. The following table presents the closing prices of AIR common stock on February 13, 2026, the last trading day before the public announcement of the merger agreement, and July 10, 2026, the last practicable trading day prior to the filing of this proxy statement/prospectus.</w:t>
      </w:r>
    </w:p>
    <w:tbl>
      <w:tblPr>
        <w:tblW w:w="4002" w:type="dxa"/>
        <w:jc w:val="left"/>
        <w:tblInd w:w="0" w:type="dxa"/>
        <w:tblLayout w:type="fixed"/>
        <w:tblCellMar>
          <w:top w:w="0" w:type="dxa"/>
          <w:left w:w="0" w:type="dxa"/>
          <w:bottom w:w="0" w:type="dxa"/>
          <w:right w:w="0" w:type="dxa"/>
        </w:tblCellMar>
      </w:tblPr>
      <w:tblGrid>
        <w:gridCol w:w="1876"/>
        <w:gridCol w:w="146"/>
        <w:gridCol w:w="489"/>
        <w:gridCol w:w="1491"/>
      </w:tblGrid>
      <w:tr>
        <w:trPr/>
        <w:tc>
          <w:tcPr>
            <w:tcW w:w="1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19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AIRI Closing Price</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10, 2026</w:t>
            </w:r>
          </w:p>
        </w:tc>
        <w:tc>
          <w:tcPr>
            <w:tcW w:w="146"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market price of AIR common stock is subject to fluctuation, the market value of the shares of AIR common stock that Tenax Members will be entitled to receive in the merger may increase or decrease.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for the periods indicated, the high and low sale prices per share of AIR common stock as reported on NYSE American.</w:t>
      </w:r>
    </w:p>
    <w:tbl>
      <w:tblPr>
        <w:tblW w:w="5322" w:type="dxa"/>
        <w:jc w:val="left"/>
        <w:tblInd w:w="0" w:type="dxa"/>
        <w:tblLayout w:type="fixed"/>
        <w:tblCellMar>
          <w:top w:w="0" w:type="dxa"/>
          <w:left w:w="0" w:type="dxa"/>
          <w:bottom w:w="0" w:type="dxa"/>
          <w:right w:w="0" w:type="dxa"/>
        </w:tblCellMar>
      </w:tblPr>
      <w:tblGrid>
        <w:gridCol w:w="3241"/>
        <w:gridCol w:w="146"/>
        <w:gridCol w:w="286"/>
        <w:gridCol w:w="586"/>
        <w:gridCol w:w="146"/>
        <w:gridCol w:w="286"/>
        <w:gridCol w:w="631"/>
      </w:tblGrid>
      <w:tr>
        <w:trPr/>
        <w:tc>
          <w:tcPr>
            <w:tcW w:w="324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vMerge w:val="restart"/>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Price Range</w:t>
            </w:r>
          </w:p>
        </w:tc>
      </w:tr>
      <w:tr>
        <w:trPr/>
        <w:tc>
          <w:tcPr>
            <w:tcW w:w="32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w:t>
            </w:r>
          </w:p>
        </w:tc>
      </w:tr>
      <w:tr>
        <w:trPr/>
        <w:tc>
          <w:tcPr>
            <w:tcW w:w="32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w:t>
            </w:r>
          </w:p>
        </w:tc>
      </w:tr>
      <w:tr>
        <w:trPr/>
        <w:tc>
          <w:tcPr>
            <w:tcW w:w="32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r>
      <w:tr>
        <w:trPr/>
        <w:tc>
          <w:tcPr>
            <w:tcW w:w="32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r>
      <w:tr>
        <w:trPr/>
        <w:tc>
          <w:tcPr>
            <w:tcW w:w="32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r>
      <w:tr>
        <w:trPr/>
        <w:tc>
          <w:tcPr>
            <w:tcW w:w="32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private company, and the Tenax units are not publicly traded.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 the record date for the special meeting, there were approximately [•] registered holders of record of the AIR common stock. As of date of this proxy statement/prospectus, there are 7 Tenax Members. For more information regarding the beneficial ownership of AIR, Tenax and the combined company, see the sections entitled “Principal Holders of AIR Common Stock”, “Principal Holders of Tenax Units” and “Principal Stockholders of Combined Company” beginning on pages 171, 173 and 174, respectively,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not declared or paid any cash dividends on its common stock in recent years and does not currently anticipate paying cash dividends in the foreseeable future, other than the dividend of Redemption Rights to be declared in connection with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intends to retain all available funds and any future earnings for use in the operation of its business and does not anticipate paying any cash dividends on its capital stock in the foreseeable future. Notwithstanding the foregoing, any determination to pay cash dividends or other distributions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that the combined company’s then-current board of directors deems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8" w:name="T9978"/>
      <w:bookmarkEnd w:id="78"/>
      <w:r>
        <w:rPr>
          <w:rFonts w:ascii="Times New Roman PS Std;serif" w:hAnsi="Times New Roman PS Std;serif"/>
          <w:b/>
          <w:i w:val="false"/>
          <w:caps w:val="false"/>
          <w:smallCaps w:val="false"/>
          <w:sz w:val="20"/>
        </w:rPr>
        <w:t xml:space="preserve">COMPARISON OF RIGHTS OF AIR STOCKHOLDERS AND TENAX MEMBERS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the AIR stockholders are governed by the NRS, AIR’s articles of incorporation and AIR’s bylaws, and the rights of the Tenax Members are governed by the DLLCA, the Tenax certificate of formation and the Tenax LLCA. Pursuant to the merger agreement, assuming the authorized shares proposal and written consent proposal are approved by the AIR stockholders, AIR’s articles of incorporation will be amended to increase the amount of authorized shares of AIR common stock and to permit stockholder action by written consent in lieu of a stockholder meeting where certain conditions are satisfied, as set forth in the form of amendment to AIR’s articles of incorporation in Exhibit E to Annex A to this proxy statement/prospectus, and AIR’s bylaws will be amended to delete the current prohibition of such stockholder actions by written consent. In addition, at the effective time, the certificate of formation of the surviving company will be the certificate of formation of Tenax as of immediately prior to the effective time, and the limited liability company agreement in the form set forth in Exhibit D to Annex A to this proxy statement/prospectus will be the limited liability company agreement of Tenax. As a result of the merger, the Tenax Members will receive shares of AIR common stock as merger consideration and will become stockholders of AIR and, accordingly, their rights will be governed by the NRS, AIR’s articles of incorporation and AIR’s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is a summary of certain material differences as of the date of this proxy statement/prospectus between the rights of the AIR stockholders and the rights of the Tenax Members and does not purport to be a complete description of all of such differences. These differences arise from differences between the respective governing corporate documents and states of incorporation and formation of AIR and Tenax, respectively. This summary is qualified in its entirety by reference to the NRS, the DLLCA and the respective governing documents of AIR and Tenax.</w:t>
      </w:r>
    </w:p>
    <w:tbl>
      <w:tblPr>
        <w:tblW w:w="10205" w:type="dxa"/>
        <w:jc w:val="left"/>
        <w:tblInd w:w="0" w:type="dxa"/>
        <w:tblLayout w:type="fixed"/>
        <w:tblCellMar>
          <w:top w:w="0" w:type="dxa"/>
          <w:left w:w="0" w:type="dxa"/>
          <w:bottom w:w="0" w:type="dxa"/>
          <w:right w:w="0" w:type="dxa"/>
        </w:tblCellMar>
      </w:tblPr>
      <w:tblGrid>
        <w:gridCol w:w="6638"/>
        <w:gridCol w:w="146"/>
        <w:gridCol w:w="3421"/>
      </w:tblGrid>
      <w:tr>
        <w:trPr/>
        <w:tc>
          <w:tcPr>
            <w:tcW w:w="66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Stock/Membership Units</w:t>
            </w:r>
          </w:p>
        </w:tc>
      </w:tr>
      <w:tr>
        <w:trPr/>
        <w:tc>
          <w:tcPr>
            <w:tcW w:w="663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authorized to issue:</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authorized to issue:</w:t>
            </w:r>
          </w:p>
        </w:tc>
      </w:tr>
      <w:tr>
        <w:trPr/>
        <w:tc>
          <w:tcPr>
            <w:tcW w:w="663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 shares of common stock, par value $0.001 per share. Upon approval of the authorized shares proposal, AIR will be authorized to issue 200,000,000 shares of common stock, par value $0.001 per share, which would be reduced to 40,000,000 shares of common stock, par value $0.001 per share, after giving effect to such amendment and the reverse stock split; and</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unlimited number of Tenax units, divided into Tenax units designated as Class A-1 units (“</w:t>
            </w:r>
            <w:r>
              <w:rPr>
                <w:rFonts w:ascii="Times New Roman PS Std;serif" w:hAnsi="Times New Roman PS Std;serif"/>
                <w:b w:val="false"/>
                <w:i w:val="false"/>
                <w:caps w:val="false"/>
                <w:smallCaps w:val="false"/>
                <w:sz w:val="20"/>
                <w:u w:val="single"/>
              </w:rPr>
              <w:t>Class A-1 units</w:t>
            </w:r>
            <w:r>
              <w:rPr>
                <w:rFonts w:ascii="Times New Roman PS Std;serif" w:hAnsi="Times New Roman PS Std;serif"/>
                <w:b w:val="false"/>
                <w:i w:val="false"/>
                <w:caps w:val="false"/>
                <w:smallCaps w:val="false"/>
                <w:sz w:val="20"/>
              </w:rPr>
              <w:t>”), Tenax units designated as Class A-2 units (“</w:t>
            </w:r>
            <w:r>
              <w:rPr>
                <w:rFonts w:ascii="Times New Roman PS Std;serif" w:hAnsi="Times New Roman PS Std;serif"/>
                <w:b w:val="false"/>
                <w:i w:val="false"/>
                <w:caps w:val="false"/>
                <w:smallCaps w:val="false"/>
                <w:sz w:val="20"/>
                <w:u w:val="single"/>
              </w:rPr>
              <w:t>Class A-2 units</w:t>
            </w:r>
            <w:r>
              <w:rPr>
                <w:rFonts w:ascii="Times New Roman PS Std;serif" w:hAnsi="Times New Roman PS Std;serif"/>
                <w:b w:val="false"/>
                <w:i w:val="false"/>
                <w:caps w:val="false"/>
                <w:smallCaps w:val="false"/>
                <w:sz w:val="20"/>
              </w:rPr>
              <w:t>”) and Tenax units designated as Class A-3 units (“</w:t>
            </w:r>
            <w:r>
              <w:rPr>
                <w:rFonts w:ascii="Times New Roman PS Std;serif" w:hAnsi="Times New Roman PS Std;serif"/>
                <w:b w:val="false"/>
                <w:i w:val="false"/>
                <w:caps w:val="false"/>
                <w:smallCaps w:val="false"/>
                <w:sz w:val="20"/>
                <w:u w:val="single"/>
              </w:rPr>
              <w:t>Class A-3 units</w:t>
            </w:r>
            <w:r>
              <w:rPr>
                <w:rFonts w:ascii="Times New Roman PS Std;serif" w:hAnsi="Times New Roman PS Std;serif"/>
                <w:b w:val="false"/>
                <w:i w:val="false"/>
                <w:caps w:val="false"/>
                <w:smallCaps w:val="false"/>
                <w:sz w:val="20"/>
              </w:rPr>
              <w:t>”).</w:t>
            </w:r>
          </w:p>
        </w:tc>
      </w:tr>
      <w:tr>
        <w:trPr/>
        <w:tc>
          <w:tcPr>
            <w:tcW w:w="663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 shares of preferred stock, par value $0.001 per share. The number of authorized shares of preferred stock will not be changed pursuant to the amendment to AIR’s articles of incorporation contemplated by the authorized shares proposal, or by the reverse stock split.</w:t>
            </w:r>
          </w:p>
        </w:tc>
        <w:tc>
          <w:tcPr>
            <w:tcW w:w="146" w:type="dxa"/>
            <w:tcBorders/>
          </w:tcPr>
          <w:p>
            <w:pPr>
              <w:pStyle w:val="TableContents"/>
              <w:bidi w:val="0"/>
              <w:spacing w:before="0" w:after="283"/>
              <w:jc w:val="left"/>
              <w:rPr/>
            </w:pPr>
            <w:r>
              <w:rPr/>
              <w:t> </w:t>
            </w:r>
          </w:p>
        </w:tc>
        <w:tc>
          <w:tcPr>
            <w:tcW w:w="3421"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Preferred Stock/Additional Membership Units</w:t>
            </w:r>
          </w:p>
        </w:tc>
      </w:tr>
      <w:tr>
        <w:trPr/>
        <w:tc>
          <w:tcPr>
            <w:tcW w:w="663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articles of incorporation authorize the AIR Board to designate and issue, out of AIR’s authorized and unissued shares of preferred stock, one or more classes or series of preferred stock without approval of the stockholders, by action of the AIR Board and the filing of a certificate of designation filed with the Nevada Secretary of State pursuant to NRS 78.1955, prescribing the voting powers, if any, designations, powers, preferences, and the relative, participating, optional, or other rights, if any, and the qualifications, limitations, or restrictions thereof. The AIR Board may fix the number of shares constituting such class or series, and it may increase or decrease the number of shares of any such class or series, but not below the number of shares thereof then outstanding.</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may issue additional Tenax units (including creating additional classes or series thereof having such powers, designations, preferences and rights as may be determined by the Tenax Board) as the Tenax Board may reasonably determine, in each case, subject to compliance with the provisions of the Tenax LLCA.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916"/>
        <w:gridCol w:w="146"/>
        <w:gridCol w:w="4143"/>
      </w:tblGrid>
      <w:tr>
        <w:trPr/>
        <w:tc>
          <w:tcPr>
            <w:tcW w:w="5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41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Quorum</w:t>
            </w:r>
          </w:p>
        </w:tc>
      </w:tr>
      <w:tr>
        <w:trPr/>
        <w:tc>
          <w:tcPr>
            <w:tcW w:w="59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meeting of stockholders, except where otherwise provided by law or AIR’s articles of incorporation or AIR’s bylaws, the holders of thirty three and one-third percent in voting power of the outstanding shares of stock entitled to vote on a matter at the meeting, present in person or represented by proxy, constitutes a quorum. Shares entitled to vote as a separate class or series may take action on a matter at a meeting only if a quorum of those shares is present. In the absence of a quorum of the holders of any class or series of stock entitled to vote on a matter, the holders of such class or series so present or represented may, by majority vote, adjourn the meeting of such class or series with respect to that matter from time to time until a quorum of such class or series is present or represented.</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all meetings of the AIR Board, a majority of the directors then in office constitutes a quorum for the transaction of business at such meeting. Where a quorum of the AIR Board is not present, a majority of the directors present may, without notice other than announcement at the meeting, adjourn the meeting from time to time until a quorum can be obtained.</w:t>
            </w:r>
          </w:p>
        </w:tc>
        <w:tc>
          <w:tcPr>
            <w:tcW w:w="146" w:type="dxa"/>
            <w:tcBorders/>
          </w:tcPr>
          <w:p>
            <w:pPr>
              <w:pStyle w:val="TableContents"/>
              <w:bidi w:val="0"/>
              <w:spacing w:before="0" w:after="283"/>
              <w:jc w:val="left"/>
              <w:rPr/>
            </w:pPr>
            <w:r>
              <w:rPr/>
              <w:t> </w:t>
            </w:r>
          </w:p>
        </w:tc>
        <w:tc>
          <w:tcPr>
            <w:tcW w:w="414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have a quorum requirement for the Tenax Members.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each item of business properly presented to the Tenax Board at any meeting of the Tenax Board, the presence, in person or by proxy, of managers having not less than the minimum number of votes required to approve such item constitutes a quorum. Actions taken by the Tenax Board at board meetings require the approval of a majority of the entire Tenax Board (excluding any vacancy then existing).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Stockholder/Member Voting</w:t>
            </w:r>
          </w:p>
        </w:tc>
      </w:tr>
      <w:tr>
        <w:trPr/>
        <w:tc>
          <w:tcPr>
            <w:tcW w:w="59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AIR common stock entitled to vote at any meeting of stockholders is entitled to one vote for each share of AIR common stock held by such stockholder which has voting power upon the matter in question. The holders of common stock vote together as a single class.</w:t>
            </w:r>
          </w:p>
        </w:tc>
        <w:tc>
          <w:tcPr>
            <w:tcW w:w="146" w:type="dxa"/>
            <w:tcBorders/>
          </w:tcPr>
          <w:p>
            <w:pPr>
              <w:pStyle w:val="TableContents"/>
              <w:bidi w:val="0"/>
              <w:spacing w:before="0" w:after="283"/>
              <w:jc w:val="left"/>
              <w:rPr/>
            </w:pPr>
            <w:r>
              <w:rPr/>
              <w:t> </w:t>
            </w:r>
          </w:p>
        </w:tc>
        <w:tc>
          <w:tcPr>
            <w:tcW w:w="414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Members holding the Class A-1 units or Class A-2 units vote together as a single class on all matters on which they are specifically entitled to vote pursuant to the Tenax LLCA. Each Tenax Member holding Class A-1 units or Class A-2 units is entitled to one vote for each such Class A-1 unit or Class A-2 unit held by such Tenax Member.</w:t>
            </w:r>
          </w:p>
        </w:tc>
      </w:tr>
      <w:tr>
        <w:trPr/>
        <w:tc>
          <w:tcPr>
            <w:tcW w:w="59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applicable law, the rules or regulations of a listing body, AIR’s articles of incorporation or AIR’s bylaws require a different vote, if a quorum exists, action on a matter other than the election of directors is approved if the votes cast favoring the action exceed the votes cast opposing the action. For purposes of AIR’s bylaws, “votes cast” means all votes cast in favor of and against a particular proposal or matter, but not abstentions or broker non-votes.</w:t>
            </w:r>
          </w:p>
        </w:tc>
        <w:tc>
          <w:tcPr>
            <w:tcW w:w="146" w:type="dxa"/>
            <w:tcBorders/>
          </w:tcPr>
          <w:p>
            <w:pPr>
              <w:pStyle w:val="TableContents"/>
              <w:bidi w:val="0"/>
              <w:spacing w:before="0" w:after="283"/>
              <w:jc w:val="left"/>
              <w:rPr/>
            </w:pPr>
            <w:r>
              <w:rPr/>
              <w:t> </w:t>
            </w:r>
          </w:p>
        </w:tc>
        <w:tc>
          <w:tcPr>
            <w:tcW w:w="414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expressly provided in the Tenax LLCA, actions requiring approval by the Tenax Members require the approval of Tenax Members holding a majority of the outstanding Class A-1 units and Class A-2 units voting together as a single class.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Meetings</w:t>
            </w:r>
          </w:p>
        </w:tc>
      </w:tr>
      <w:tr>
        <w:trPr/>
        <w:tc>
          <w:tcPr>
            <w:tcW w:w="59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stockholders may be called by the Chairman of the AIR Board, the President of AIR (if he is also a member of the AIR Board) or the AIR Board. The President or the Secretary of AIR must call a special meeting upon the written demand (which states the purpose or purposes therefor) signed and dated by the holders of shares representing not less than ten percent of all votes entitled to be cast on any issue(s) that may be properly proposed to be considered at the special meeting. Business transacted at any special meeting of stockholders is limited to the purpose or purposes stated in the notice of such meeting.</w:t>
            </w:r>
          </w:p>
        </w:tc>
        <w:tc>
          <w:tcPr>
            <w:tcW w:w="146" w:type="dxa"/>
            <w:tcBorders/>
          </w:tcPr>
          <w:p>
            <w:pPr>
              <w:pStyle w:val="TableContents"/>
              <w:bidi w:val="0"/>
              <w:spacing w:before="0" w:after="283"/>
              <w:jc w:val="left"/>
              <w:rPr/>
            </w:pPr>
            <w:r>
              <w:rPr/>
              <w:t> </w:t>
            </w:r>
          </w:p>
        </w:tc>
        <w:tc>
          <w:tcPr>
            <w:tcW w:w="414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provide for a stockholder-style special meeting mechanism. The Chairman of the Tenax Board or the Tenax Board may at any time call a meeting of the Tenax Board.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29"/>
        <w:gridCol w:w="146"/>
        <w:gridCol w:w="3730"/>
      </w:tblGrid>
      <w:tr>
        <w:trPr/>
        <w:tc>
          <w:tcPr>
            <w:tcW w:w="632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37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Stockholder/Member Action by Written Consent Without a Meeting</w:t>
            </w:r>
          </w:p>
        </w:tc>
      </w:tr>
      <w:tr>
        <w:trPr/>
        <w:tc>
          <w:tcPr>
            <w:tcW w:w="632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bylaws currently prohibit stockholder action by written consent in lieu of a stockholder meeting. However, as a condition to the merger and pending approval of the written consent proposal, AIR’s articles of incorporation will be amended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and the AIR Board will amend AIR’s bylaws, effective at the closing, to delete Section 1.11 in AIR’s bylaws which prohibits such stockholder actions by written consent.</w:t>
            </w:r>
          </w:p>
        </w:tc>
        <w:tc>
          <w:tcPr>
            <w:tcW w:w="146" w:type="dxa"/>
            <w:tcBorders/>
          </w:tcPr>
          <w:p>
            <w:pPr>
              <w:pStyle w:val="TableContents"/>
              <w:bidi w:val="0"/>
              <w:spacing w:before="0" w:after="283"/>
              <w:jc w:val="left"/>
              <w:rPr/>
            </w:pPr>
            <w:r>
              <w:rPr/>
              <w:t> </w:t>
            </w:r>
          </w:p>
        </w:tc>
        <w:tc>
          <w:tcPr>
            <w:tcW w:w="373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permitted or required to be taken by the Tenax Members may be taken without a meeting, without prior notice and without a vote if a consent or consents in writing, setting forth the action so taken, is signed by Tenax Members holding not less than the minimum approval of the Tenax Members that would be necessary to take such action in accordance with the terms of the Tenax LLCA. Written notice of any such action by written consent must be provided to all Tenax Members within five business days after such action.</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of Stockholder/Member Meetings</w:t>
            </w:r>
          </w:p>
        </w:tc>
      </w:tr>
      <w:tr>
        <w:trPr/>
        <w:tc>
          <w:tcPr>
            <w:tcW w:w="632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stockholders are required or permitted to take any action at a meeting, a notice of the meeting stating the place, if any, date and hour of the meeting, and the means of remote communications, if any, by which stockholders and proxy holders may be deemed to be present in person and vote at such meeting and, in the case of a special meeting, the purpose or purposes for which the meeting is called, must be given to each stockholder entitled to vote at such meeting. Unless otherwise provided by law, AIR’s articles of incorporation or AIR’s bylaws, the notice of any meeting must be given not less than ten nor more than sixty days before the date of the meeting to each stockholder entitled to vote at such meeting. Notice may be given by any means permitted by law. If mailed, such notice is deemed to be given when deposited in the United States mail, postage prepaid, directed to the stockholder at such stockholder’s address as it appears on the records of AIR.</w:t>
            </w:r>
          </w:p>
        </w:tc>
        <w:tc>
          <w:tcPr>
            <w:tcW w:w="146" w:type="dxa"/>
            <w:tcBorders/>
          </w:tcPr>
          <w:p>
            <w:pPr>
              <w:pStyle w:val="TableContents"/>
              <w:bidi w:val="0"/>
              <w:spacing w:before="0" w:after="283"/>
              <w:jc w:val="left"/>
              <w:rPr/>
            </w:pPr>
            <w:r>
              <w:rPr/>
              <w:t> </w:t>
            </w:r>
          </w:p>
        </w:tc>
        <w:tc>
          <w:tcPr>
            <w:tcW w:w="373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provide written notice to all Tenax Members at least five business days in advance of any meeting at which a vote will be held.</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Advance Notice Requirement for Stockholder/Member Nominations and Proposals</w:t>
            </w:r>
          </w:p>
        </w:tc>
      </w:tr>
      <w:tr>
        <w:trPr/>
        <w:tc>
          <w:tcPr>
            <w:tcW w:w="632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AIR Board and the proposal of business to be considered by the stockholders may be made at an annual meeting of stockholders (i) by or at the direction of the Chairman of the AIR Board or the AIR Board pursuant to a resolution adopted by a majority of the whole AIR Board or (ii) by any AIR stockholder that is entitled to vote at the meeting with respect to the election of directors or the business to be proposed by such stockholder, as the case may be, who complies with the advance notice procedures in AIR’s bylaws and that is a stockholder of record at the time such notice is delivered to the Secretary of AIR. Business brought before an annual meeting by a stockholder must be a proper subject for stockholder action under applicable law. To be timely, a stockholder’s notice must be delivered to the Secretary of AIR at the principal executive offices of AIR not less than 75 days nor more than 90 days prior to the first anniversary of the preceding year’s annual meeting; provided, however, that in the event that the date of the annual meeting is advanced by</w:t>
            </w:r>
          </w:p>
        </w:tc>
        <w:tc>
          <w:tcPr>
            <w:tcW w:w="146" w:type="dxa"/>
            <w:tcBorders/>
          </w:tcPr>
          <w:p>
            <w:pPr>
              <w:pStyle w:val="TableContents"/>
              <w:bidi w:val="0"/>
              <w:spacing w:before="0" w:after="283"/>
              <w:jc w:val="left"/>
              <w:rPr/>
            </w:pPr>
            <w:r>
              <w:rPr/>
              <w:t> </w:t>
            </w:r>
          </w:p>
        </w:tc>
        <w:tc>
          <w:tcPr>
            <w:tcW w:w="373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LLCA does not provide for an advance notice procedure for Tenax Members acting solely in their capacity as a Tenax Member to nominate persons or bring business before a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233"/>
        <w:gridCol w:w="146"/>
        <w:gridCol w:w="826"/>
      </w:tblGrid>
      <w:tr>
        <w:trPr/>
        <w:tc>
          <w:tcPr>
            <w:tcW w:w="92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9233" w:type="dxa"/>
            <w:tcBorders/>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30 days, or delayed by more than 60 days, from such anniversary date, notice by the stockholder to be timely must be so delivered not earlier than the ninetieth day prior to such annual meeting and not later than the close of business on the later of the seventy-fifth day prior to such annual meeting or the tenth day following the day on which public announcement of the date of such meeting is first made. In addition, if the number of directors to be elected is increased and no public announcement naming all nominees or specifying the size of the increased AIR Board is made by AIR at least 80 days prior to the first anniversary of the preceding year’s annual meeting, a stockholder’s notice with respect to nominees for any new positions created by such increase will be considered timely if delivered to the Secretary of AIR at the principal executive offices of AIR not later than the close of business on the tenth day following the day on which such public announcement is first made by AIR.</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stockholder’s notice must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a beneficial owner on whose behalf the nomination or proposal is made (i) the name and address of such stockholder, as they appear on AIR’s books, and of such beneficial owner and (ii) the class and number of shares of AIR which are owned beneficially and of record by such stockholder and such beneficial owner.</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AIR Board may be made at a special meeting of stockholders at which directors are to be elected (i) by or at the direction of the Chairman of the AIR Board or the AIR Board pursuant to a resolution adopted by a majority of the whole AIR Board or (ii) by any AIR stockholder that is entitled to vote at the meeting with respect to the election of directors who complies with the advance notice procedures described above and that is a stockholder of record at the time such notice is delivered to the Secretary of AIR. To be timely, such stockholder’s notice must be delivered to the Secretary of AIR at the principal executive offices of AIR not earlier than the ninetieth day prior to the special meeting and not later than the close of business on the later of the sixtieth day prior to such</w:t>
            </w:r>
          </w:p>
        </w:tc>
        <w:tc>
          <w:tcPr>
            <w:tcW w:w="146" w:type="dxa"/>
            <w:tcBorders/>
          </w:tcPr>
          <w:p>
            <w:pPr>
              <w:pStyle w:val="TableContents"/>
              <w:bidi w:val="0"/>
              <w:spacing w:before="0" w:after="283"/>
              <w:jc w:val="left"/>
              <w:rPr/>
            </w:pPr>
            <w:r>
              <w:rPr/>
              <w:t> </w:t>
            </w:r>
          </w:p>
        </w:tc>
        <w:tc>
          <w:tcPr>
            <w:tcW w:w="82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17"/>
        <w:gridCol w:w="146"/>
        <w:gridCol w:w="2042"/>
      </w:tblGrid>
      <w:tr>
        <w:trPr/>
        <w:tc>
          <w:tcPr>
            <w:tcW w:w="80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20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801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 or the tenth day following the day on which public announcement is first made of the date of the special meeting and of the nominees proposed by the AIR Board to be elected at such meeting.</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also request inclusion of proposals in AIR’s proxy materials with respect to a meeting of stockholders pursuant to Rule 14a-8 under the Exchange Act.</w:t>
            </w:r>
          </w:p>
        </w:tc>
        <w:tc>
          <w:tcPr>
            <w:tcW w:w="146" w:type="dxa"/>
            <w:tcBorders/>
          </w:tcPr>
          <w:p>
            <w:pPr>
              <w:pStyle w:val="TableContents"/>
              <w:bidi w:val="0"/>
              <w:spacing w:before="0" w:after="283"/>
              <w:jc w:val="left"/>
              <w:rPr/>
            </w:pPr>
            <w:r>
              <w:rPr/>
              <w:t> </w:t>
            </w:r>
          </w:p>
        </w:tc>
        <w:tc>
          <w:tcPr>
            <w:tcW w:w="2042"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Articles of Incorporation/Certificate of Formation</w:t>
            </w:r>
          </w:p>
        </w:tc>
      </w:tr>
      <w:tr>
        <w:trPr/>
        <w:tc>
          <w:tcPr>
            <w:tcW w:w="801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NRS 78.390, except as otherwise provided in NRS 78.390(8), 77.340, 78.209 or NRS Chapter 92A, every amendment to the articles of incorporation must be made and approved in the following manner: (a) the board of directors must adopt a resolution setting forth the amendment proposed and submit the proposed amendment to the stockholders for approval and if the corporation is (1) a publicly traded corporation and the amendment proposed relates solely to an increase or decrease in the number of shares the corporation is authorized to issue, the stockholders of the affected class or series, regardless of limitations or restrictions on the voting power of the affected class or series, must approve the proposed amendment; or (2) not a publicly traded corporation, or is a publicly traded corporation but the amendment proposed does not relate solely to an increase or decrease in the number of shares the corporation is authorized to issue, the stockholders holding shares in the corporation representing at least a majority of the voting power, or such greater proportion of the voting power as may be required in the case of a vote by classes or series, as provided in NRS 78.390(2) and 78.390(4), or as may be required by the provisions of the articles of incorporation, must approve the proposed amendment. NRS 78.390(8) permits a corporation to amend its articles of incorporation to change its name without stockholder approval. Except as otherwise provided in NRS 78.390, if any proposed amendment would adversely alter or change any preference or any relative or other right given to any class or series of outstanding shares, then, in addition to any approval otherwise required, the amendment must be approved by the holders of shares representing a majority of the voting power of each class or series adversely affected by the amendment regardless of limitations or restrictions on the voting power thereof. The amendment does not have to be approved by the holders of shares of any class or series whose preference or rights are adversely affected by the amendment if the articles of incorporation specifically deny the holders of such class or series the right to vote on such an amendment. Provision may be made in the articles of incorporation requiring, in the case of any specified amendments, approval by a larger proportion of the voting power of stockholders than that required by NRS 78.390.</w:t>
            </w:r>
          </w:p>
        </w:tc>
        <w:tc>
          <w:tcPr>
            <w:tcW w:w="146" w:type="dxa"/>
            <w:tcBorders/>
          </w:tcPr>
          <w:p>
            <w:pPr>
              <w:pStyle w:val="TableContents"/>
              <w:bidi w:val="0"/>
              <w:spacing w:before="0" w:after="283"/>
              <w:jc w:val="left"/>
              <w:rPr/>
            </w:pPr>
            <w:r>
              <w:rPr/>
              <w:t> </w:t>
            </w:r>
          </w:p>
        </w:tc>
        <w:tc>
          <w:tcPr>
            <w:tcW w:w="204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to the Tenax certificate of formation may be made at any time in accordance with the DLLCA. Such amendments require approval of the Tenax Board and, where required under the Tenax LLCA, the consent of NEH.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09"/>
        <w:gridCol w:w="146"/>
        <w:gridCol w:w="4950"/>
      </w:tblGrid>
      <w:tr>
        <w:trPr/>
        <w:tc>
          <w:tcPr>
            <w:tcW w:w="510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495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510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articles of incorporation provide that AIR reserves the right to amend, alter, change, or repeal all or any portion of the provisions contained in AIR’s articles of incorporation from time to time in accordance with the laws of the state of Nevada, and all rights conferred on stockholders in AIR’s articles of incorporation are granted subject to this reservation.</w:t>
            </w:r>
          </w:p>
        </w:tc>
        <w:tc>
          <w:tcPr>
            <w:tcW w:w="146" w:type="dxa"/>
            <w:tcBorders/>
          </w:tcPr>
          <w:p>
            <w:pPr>
              <w:pStyle w:val="TableContents"/>
              <w:bidi w:val="0"/>
              <w:spacing w:before="0" w:after="283"/>
              <w:jc w:val="left"/>
              <w:rPr/>
            </w:pPr>
            <w:r>
              <w:rPr/>
              <w:t> </w:t>
            </w:r>
          </w:p>
        </w:tc>
        <w:tc>
          <w:tcPr>
            <w:tcW w:w="4950"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Bylaws/LLCA Amendments</w:t>
            </w:r>
          </w:p>
        </w:tc>
      </w:tr>
      <w:tr>
        <w:trPr/>
        <w:tc>
          <w:tcPr>
            <w:tcW w:w="51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NRS 78.120(2), unless otherwise prohibited by any bylaw adopted by the stockholders, the directors may adopt, amend or repeal any bylaw, including any bylaw adopted by the stockholders.</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AIR’s articles of incorporation, the AIR Board has the power to adopt, amend or repeal, from time to time, AIR’s bylaws. The AIR stockholders entitled to vote may also adopt additional bylaws and may amend or repeal any bylaw, whether or not adopted by them, at an annual stockholders meeting or a special meeting. The power of the AIR Board to adopt, amend or repeal AIR’s bylaws may be limited by an amendment to AIR’s articles of incorporation or an amendment to AIR’s bylaws adopted by the AIR stockholders entitled to vote that provides that a particular bylaw or bylaws may only be adopted, amended or repealed by the AIR stockholders entitled to vote.</w:t>
            </w:r>
          </w:p>
        </w:tc>
        <w:tc>
          <w:tcPr>
            <w:tcW w:w="146" w:type="dxa"/>
            <w:tcBorders/>
          </w:tcPr>
          <w:p>
            <w:pPr>
              <w:pStyle w:val="TableContents"/>
              <w:bidi w:val="0"/>
              <w:spacing w:before="0" w:after="283"/>
              <w:jc w:val="left"/>
              <w:rPr/>
            </w:pPr>
            <w:r>
              <w:rPr/>
              <w:t> </w:t>
            </w:r>
          </w:p>
        </w:tc>
        <w:tc>
          <w:tcPr>
            <w:tcW w:w="49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Tenax LLCA, the Tenax LLCA may be amended, or its provisions waived, with the approval of the Tenax Board and the written consent of NEH, subject to certain protective provisions requiring the consent of any Tenax Member or Tenax Warrantholder where any amendment or waiver would increase such holder’s obligation to make capital contributions or obligations with respect to other liabilities. The consent of certain Tenax Members or Tenax Warrantholders is also required where any amendment or waiver would materially and adversely affect their rights or obligations.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Number and Term of Directors/Managers</w:t>
            </w:r>
          </w:p>
        </w:tc>
      </w:tr>
      <w:tr>
        <w:trPr/>
        <w:tc>
          <w:tcPr>
            <w:tcW w:w="51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must consist of not less than one member, the number thereof to be determined from time to time by resolution of the AIR Board.</w:t>
            </w:r>
          </w:p>
        </w:tc>
        <w:tc>
          <w:tcPr>
            <w:tcW w:w="146" w:type="dxa"/>
            <w:tcBorders/>
          </w:tcPr>
          <w:p>
            <w:pPr>
              <w:pStyle w:val="TableContents"/>
              <w:bidi w:val="0"/>
              <w:spacing w:before="0" w:after="283"/>
              <w:jc w:val="left"/>
              <w:rPr/>
            </w:pPr>
            <w:r>
              <w:rPr/>
              <w:t> </w:t>
            </w:r>
          </w:p>
        </w:tc>
        <w:tc>
          <w:tcPr>
            <w:tcW w:w="49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is comprised of one or more managers. NEH may at any time increase or decrease the number of managers.</w:t>
            </w:r>
          </w:p>
        </w:tc>
      </w:tr>
      <w:tr>
        <w:trPr/>
        <w:tc>
          <w:tcPr>
            <w:tcW w:w="51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at each annual meeting of stockholders and hold office until the next annual meeting of stockholders, and until the director’s successor is elected and qualified or until the director’s prior death, resignation, removal or disqualification.</w:t>
            </w:r>
          </w:p>
        </w:tc>
        <w:tc>
          <w:tcPr>
            <w:tcW w:w="146" w:type="dxa"/>
            <w:tcBorders/>
          </w:tcPr>
          <w:p>
            <w:pPr>
              <w:pStyle w:val="TableContents"/>
              <w:bidi w:val="0"/>
              <w:spacing w:before="0" w:after="283"/>
              <w:jc w:val="left"/>
              <w:rPr/>
            </w:pPr>
            <w:r>
              <w:rPr/>
              <w:t> </w:t>
            </w:r>
          </w:p>
        </w:tc>
        <w:tc>
          <w:tcPr>
            <w:tcW w:w="49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manager holds office until his or her successor is appointed or until his or her earlier death, resignation or removal.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Directors/Managers</w:t>
            </w:r>
          </w:p>
        </w:tc>
      </w:tr>
      <w:tr>
        <w:trPr/>
        <w:tc>
          <w:tcPr>
            <w:tcW w:w="51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a plurality of the votes of the shares present in person or represented by proxy at a meeting and entitled to vote for directors.</w:t>
            </w:r>
          </w:p>
        </w:tc>
        <w:tc>
          <w:tcPr>
            <w:tcW w:w="146" w:type="dxa"/>
            <w:tcBorders/>
          </w:tcPr>
          <w:p>
            <w:pPr>
              <w:pStyle w:val="TableContents"/>
              <w:bidi w:val="0"/>
              <w:spacing w:before="0" w:after="283"/>
              <w:jc w:val="left"/>
              <w:rPr/>
            </w:pPr>
            <w:r>
              <w:rPr/>
              <w:t> </w:t>
            </w:r>
          </w:p>
        </w:tc>
        <w:tc>
          <w:tcPr>
            <w:tcW w:w="49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 are appointed by NEH from time to time.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Directors/Managers</w:t>
            </w:r>
          </w:p>
        </w:tc>
      </w:tr>
      <w:tr>
        <w:trPr/>
        <w:tc>
          <w:tcPr>
            <w:tcW w:w="51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bylaws provide that any director may be removed from office, with or without cause, at any time by the affirmative vote of stockholders holding of record in the aggregate at least two-thirds of the outstanding shares of stock of AIR. NRS 78.335 provides that any director or one or more of the incumbent directors may be removed as a director only by the vote of stockholders representing not less than two-thirds of the voting power of the issued and outstanding stock entitled to vote.</w:t>
            </w:r>
          </w:p>
        </w:tc>
        <w:tc>
          <w:tcPr>
            <w:tcW w:w="146" w:type="dxa"/>
            <w:tcBorders/>
          </w:tcPr>
          <w:p>
            <w:pPr>
              <w:pStyle w:val="TableContents"/>
              <w:bidi w:val="0"/>
              <w:spacing w:before="0" w:after="283"/>
              <w:jc w:val="left"/>
              <w:rPr/>
            </w:pPr>
            <w:r>
              <w:rPr/>
              <w:t> </w:t>
            </w:r>
          </w:p>
        </w:tc>
        <w:tc>
          <w:tcPr>
            <w:tcW w:w="49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manager may be removed at any time with or without cause by NEH.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17"/>
        <w:gridCol w:w="146"/>
        <w:gridCol w:w="3742"/>
      </w:tblGrid>
      <w:tr>
        <w:trPr/>
        <w:tc>
          <w:tcPr>
            <w:tcW w:w="63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37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Filling Vacancies on the Board</w:t>
            </w:r>
          </w:p>
        </w:tc>
      </w:tr>
      <w:tr>
        <w:trPr/>
        <w:tc>
          <w:tcPr>
            <w:tcW w:w="631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Newly created directorships resulting from any increase in the number of directors, or any vacancies on the AIR Board resulting from death, resignation, removal or other causes, shall be filled only by the affirmative vote of a majority of the remaining directors then in office, even if the remaining directors constitute less than a quorum. Such elected directors hold office for the remainder of the full term of the class of directors in which the new directorship was created or the vacancy occurred and until such director’s successor is elected and qualified or until such director’s death, resignation or removal, whichever first occurs.</w:t>
            </w:r>
          </w:p>
        </w:tc>
        <w:tc>
          <w:tcPr>
            <w:tcW w:w="146" w:type="dxa"/>
            <w:tcBorders/>
          </w:tcPr>
          <w:p>
            <w:pPr>
              <w:pStyle w:val="TableContents"/>
              <w:bidi w:val="0"/>
              <w:spacing w:before="0" w:after="283"/>
              <w:jc w:val="left"/>
              <w:rPr/>
            </w:pPr>
            <w:r>
              <w:rPr/>
              <w:t> </w:t>
            </w:r>
          </w:p>
        </w:tc>
        <w:tc>
          <w:tcPr>
            <w:tcW w:w="374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 vacancy is created on the Tenax Board by reason of the incapacity, death, removal or resignation of any manager, NEH has the right, but not the obligation, to appoint an individual to fill the vacancy.</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Dividends and Distributions</w:t>
            </w:r>
          </w:p>
        </w:tc>
      </w:tr>
      <w:tr>
        <w:trPr/>
        <w:tc>
          <w:tcPr>
            <w:tcW w:w="631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NRS 78.288, dividends and other distributions may be declared by the AIR Board in such form, frequency and amounts as the condition of the affairs of AIR renders advisable.</w:t>
            </w:r>
          </w:p>
        </w:tc>
        <w:tc>
          <w:tcPr>
            <w:tcW w:w="146" w:type="dxa"/>
            <w:tcBorders/>
          </w:tcPr>
          <w:p>
            <w:pPr>
              <w:pStyle w:val="TableContents"/>
              <w:bidi w:val="0"/>
              <w:spacing w:before="0" w:after="283"/>
              <w:jc w:val="left"/>
              <w:rPr/>
            </w:pPr>
            <w:r>
              <w:rPr/>
              <w:t> </w:t>
            </w:r>
          </w:p>
        </w:tc>
        <w:tc>
          <w:tcPr>
            <w:tcW w:w="374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maintenance by Tenax of appropriate reserves (as determined by the Tenax Board), Tenax will make distributions to the Tenax Members of cash and other property (other than tax distributions made pursuant to the Tenax LLCA) when and as determined by the Tenax Board, pro rata in accordance with the respective number of Class A-1 units, Class A-2 units (if outstanding) and Class A-3 units held by each such holder. In addition, the Tenax Board must cause Tenax to distribute to each Tenax Member, with respect to each quarterly estimated tax period, an amount of cash based on each Tenax Member’s estimated allocable taxable income and respective tax rate.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Rights and Restrictions</w:t>
            </w:r>
          </w:p>
        </w:tc>
      </w:tr>
      <w:tr>
        <w:trPr/>
        <w:tc>
          <w:tcPr>
            <w:tcW w:w="631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any transfer restrictions set forth or referred to on the stock certificate or of which AIR otherwise has notice, shares of AIR are transferable on the books of AIR upon presentation to AIR or to AIR’s transfer agent of a stock certificate signed by, or accompanied by an executed assignment form, from the holder of record thereof, his duly authorized legal representative, or other appropriate person as permitted by NRS Chapter 78 or other applicable law. AIR may require that any transfer of shares be accompanied by proper evidence reasonably satisfactory to AIR or to AIR’s transfer agent that such endorsement is genuine and effective. Upon presentation of shares for transfer, the payment of all taxes, if any, therefor, and the satisfaction of any other requirement of law, including inquiry into and discharge of any adverse claims of which AIR has notice, AIR must issue a new certificate to the person entitled thereto and cancel the old certificate. Every transfer of stock must be entered on the stock books of AIR to accurately reflect the record ownership of each share. The AIR Board may make such additional rules and regulations as it may deem expedient concerning the issue, transfer, and registration of certificates for shares of the capital stock of AIR. NRS 78.242 also imposes certain approval and notice requirements regarding the imposition of transfer restrictions upon shares of stock outstanding at the time of imposition of the restriction.</w:t>
            </w:r>
          </w:p>
        </w:tc>
        <w:tc>
          <w:tcPr>
            <w:tcW w:w="146" w:type="dxa"/>
            <w:tcBorders/>
          </w:tcPr>
          <w:p>
            <w:pPr>
              <w:pStyle w:val="TableContents"/>
              <w:bidi w:val="0"/>
              <w:spacing w:before="0" w:after="283"/>
              <w:jc w:val="left"/>
              <w:rPr/>
            </w:pPr>
            <w:r>
              <w:rPr/>
              <w:t> </w:t>
            </w:r>
          </w:p>
        </w:tc>
        <w:tc>
          <w:tcPr>
            <w:tcW w:w="374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units are subject to transfer restrictions. Except for limited permitted transfers, including certain intra-group transfers, no Tenax Member may transfer Tenax units without the prior written consent of the Tenax Board in its sole discretion. Any transfer must comply with applicable securities laws and certain treasury regulations, and the transferee must execute a joinder agreement. Certain transfers are subject to tag-along and drag-along rights.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46"/>
        <w:gridCol w:w="146"/>
        <w:gridCol w:w="8513"/>
      </w:tblGrid>
      <w:tr>
        <w:trPr/>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85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Registration Rights</w:t>
            </w:r>
          </w:p>
        </w:tc>
      </w:tr>
      <w:tr>
        <w:trPr/>
        <w:tc>
          <w:tcPr>
            <w:tcW w:w="154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registration rights provisions in AIR’s articles of incorporation or AIR’s bylaws.</w:t>
            </w:r>
          </w:p>
        </w:tc>
        <w:tc>
          <w:tcPr>
            <w:tcW w:w="146" w:type="dxa"/>
            <w:tcBorders/>
          </w:tcPr>
          <w:p>
            <w:pPr>
              <w:pStyle w:val="TableContents"/>
              <w:bidi w:val="0"/>
              <w:spacing w:before="0" w:after="283"/>
              <w:jc w:val="left"/>
              <w:rPr/>
            </w:pPr>
            <w:r>
              <w:rPr/>
              <w:t> </w:t>
            </w:r>
          </w:p>
        </w:tc>
        <w:tc>
          <w:tcPr>
            <w:tcW w:w="8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an initial public offering of the common equity of Tenax, or any successor-in-interest to Tenax, pursuant to an effective registration statement filed with the SEC in accordance with the Securities Act, or at such time prior thereto as the Tenax Board may determine in connection with a company restructuring, Tenax and the Tenax Members will enter into a customary registration rights agreement providing for demand and piggyback registration rights.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Put/Call Rights</w:t>
            </w:r>
          </w:p>
        </w:tc>
      </w:tr>
      <w:tr>
        <w:trPr/>
        <w:tc>
          <w:tcPr>
            <w:tcW w:w="154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put/call rights provisions in AIR’s articles of incorporation or AIR’s bylaws.</w:t>
            </w:r>
          </w:p>
        </w:tc>
        <w:tc>
          <w:tcPr>
            <w:tcW w:w="146" w:type="dxa"/>
            <w:tcBorders/>
          </w:tcPr>
          <w:p>
            <w:pPr>
              <w:pStyle w:val="TableContents"/>
              <w:bidi w:val="0"/>
              <w:spacing w:before="0" w:after="283"/>
              <w:jc w:val="left"/>
              <w:rPr/>
            </w:pPr>
            <w:r>
              <w:rPr/>
              <w:t> </w:t>
            </w:r>
          </w:p>
        </w:tc>
        <w:tc>
          <w:tcPr>
            <w:tcW w:w="8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sixth anniversary of the Tenax LLCA, warrant securityholders may elect to require Tenax to repurchase all of such holder’s warrants and warrant units at fair market value, and Tenax may require any warrant securityholder to sell all of its warrants and warrant units to Tenax at fair market value. If any payment restriction prohibits such repurchases or sales, the closing for such repurchases or sales may be extended in accordance with the Tenax LLCA. These repurchase rights of the warrant securityholders and Tenax terminate upon the occurrence of certain qualifying public listings.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Company Restructuring</w:t>
            </w:r>
          </w:p>
        </w:tc>
      </w:tr>
      <w:tr>
        <w:trPr/>
        <w:tc>
          <w:tcPr>
            <w:tcW w:w="154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comparable provision in AIR’s articles of incorporation or AIR’s bylaws.</w:t>
            </w:r>
          </w:p>
        </w:tc>
        <w:tc>
          <w:tcPr>
            <w:tcW w:w="146" w:type="dxa"/>
            <w:tcBorders/>
          </w:tcPr>
          <w:p>
            <w:pPr>
              <w:pStyle w:val="TableContents"/>
              <w:bidi w:val="0"/>
              <w:spacing w:before="0" w:after="283"/>
              <w:jc w:val="left"/>
              <w:rPr/>
            </w:pPr>
            <w:r>
              <w:rPr/>
              <w:t> </w:t>
            </w:r>
          </w:p>
        </w:tc>
        <w:tc>
          <w:tcPr>
            <w:tcW w:w="8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may effect a company restructuring (including a merger with or into a publicly traded entity or subsidiary thereof) in anticipation of or in connection with certain initial public offerings, company sale events or other strategic transactions. No company restructuring that would materially and adversely affect the rights, preferences or privileges of any Tenax Member (other than NEH) in a manner disproportionate to NEH may be effected without the prior written consent of the holders of a majority on a fully diluted, as-exercised, as-converted basis of the Tenax units held by Tenax Members other than NEH. Tenax must provide each Tenax Member with at least 20 business days’ prior written notice of any proposed company restructuring, together with reasonable detail regarding its terms and effects. To the extent applicable in any company restructuring, all Tenax units will be converted or exchanged into equity of the surviving company at the same rate and relative economic value, and the governing documents of the surviving entity will contain provisions, including economic rights, preferences and privileges (including minority protections) as nearly as practicable in all material respects the same as set forth in the Tenax LLCA. All Tenax Members must take such actions as may be reasonably required and otherwise cooperate in good faith with Tenax, in each case at Tenax’s expense, in connection with consummating a company restructuring including voting for or consenting thereto.</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611"/>
        <w:gridCol w:w="146"/>
        <w:gridCol w:w="6448"/>
      </w:tblGrid>
      <w:tr>
        <w:trPr/>
        <w:tc>
          <w:tcPr>
            <w:tcW w:w="36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64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Dissent and Appraisal</w:t>
            </w:r>
          </w:p>
        </w:tc>
      </w:tr>
      <w:tr>
        <w:trPr/>
        <w:tc>
          <w:tcPr>
            <w:tcW w:w="3611" w:type="dxa"/>
            <w:tcBorders/>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NRS 92A.300 to 92A.500, inclusive, stockholders of a Nevada corporation may, subject to certain conditions, limitations and exceptions, be entitled to dissent from a transaction and demand payment of the fair value of such stockholder’s shares in the event of certain corporate actions, including certain mergers.</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rights of dissent are available to the stockholders of AIR in connection with the merger.</w:t>
            </w:r>
          </w:p>
        </w:tc>
        <w:tc>
          <w:tcPr>
            <w:tcW w:w="146" w:type="dxa"/>
            <w:tcBorders/>
          </w:tcPr>
          <w:p>
            <w:pPr>
              <w:pStyle w:val="TableContents"/>
              <w:bidi w:val="0"/>
              <w:spacing w:before="0" w:after="283"/>
              <w:jc w:val="left"/>
              <w:rPr/>
            </w:pPr>
            <w:r>
              <w:rPr/>
              <w:t> </w:t>
            </w:r>
          </w:p>
        </w:tc>
        <w:tc>
          <w:tcPr>
            <w:tcW w:w="6448"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18-210 of the DLLCA, unless otherwise provided in a limited liability company agreement or an agreement of merger or consolidation or a plan of merger or a plan of division, no appraisal rights are available with respect to a limited liability company interest or another interest in a limited liability company.</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Tenax LLCA, no Tenax Member will have any dissenters’, appraisal or other similar rights in connection with any company restructuring that complies with the Tenax LLCA, except to the extent such rights are provided by applicable law or as expressly set forth in the Tenax LLCA.</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tc>
      </w:tr>
      <w:tr>
        <w:trPr/>
        <w:tc>
          <w:tcPr>
            <w:tcW w:w="36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provisions in AIR’s articles of incorporation or AIR’s bylaws.</w:t>
            </w:r>
          </w:p>
        </w:tc>
        <w:tc>
          <w:tcPr>
            <w:tcW w:w="146" w:type="dxa"/>
            <w:tcBorders/>
          </w:tcPr>
          <w:p>
            <w:pPr>
              <w:pStyle w:val="TableContents"/>
              <w:bidi w:val="0"/>
              <w:spacing w:before="0" w:after="283"/>
              <w:jc w:val="left"/>
              <w:rPr/>
            </w:pPr>
            <w:r>
              <w:rPr/>
              <w:t> </w:t>
            </w:r>
          </w:p>
        </w:tc>
        <w:tc>
          <w:tcPr>
            <w:tcW w:w="64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certain proposed issuances by Tenax, which issuance has been approved in accordance with the requirements of the Tenax LLCA, Tenax must deliver to each holder a written notice setting forth the total amount and class of equity interests to be issued by Tenax, the proposed price thereof, and other material terms thereof. During the period of 20 business days following delivery of such notice, each holder has the right to deliver to Tenax a written notice electing to purchase, at the proposed price thereof, the amount of equity interests not exceeding the total amount of equity interests proposed to be issued. Each electing holder is entitled to purchase the lesser of (a) the amount it elected to purchase and (b) its pro rata share of the total amount of equity interests proposed to be issued, subject to adjustment if the aggregate amount of equity interests to be issued exceeds the amount of equity interests elected to be purchased by the electing holder. Any equity interests proposed to be issued by Tenax that are not purchased by the electing holders may be sold by Tenax to any person at a price not lower than the proposed price, provided that such sale occurs no later than 90 days following the date of the original notice.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Exclusive Forum Provision</w:t>
            </w:r>
          </w:p>
        </w:tc>
      </w:tr>
      <w:tr>
        <w:trPr/>
        <w:tc>
          <w:tcPr>
            <w:tcW w:w="36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exclusive forum provision in AIR’s articles of incorporation or AIR’s bylaws.</w:t>
            </w:r>
          </w:p>
        </w:tc>
        <w:tc>
          <w:tcPr>
            <w:tcW w:w="146" w:type="dxa"/>
            <w:tcBorders/>
          </w:tcPr>
          <w:p>
            <w:pPr>
              <w:pStyle w:val="TableContents"/>
              <w:bidi w:val="0"/>
              <w:spacing w:before="0" w:after="283"/>
              <w:jc w:val="left"/>
              <w:rPr/>
            </w:pPr>
            <w:r>
              <w:rPr/>
              <w:t> </w:t>
            </w:r>
          </w:p>
        </w:tc>
        <w:tc>
          <w:tcPr>
            <w:tcW w:w="64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legal action or proceeding arising out of the Tenax LLCA must be brought only in the state or federal courts located in the State of Delaware.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 of Liability on Directors/Managers and Officers</w:t>
            </w:r>
          </w:p>
        </w:tc>
      </w:tr>
      <w:tr>
        <w:trPr/>
        <w:tc>
          <w:tcPr>
            <w:tcW w:w="361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by law, a director or officer is not individually liable to AIR or its stockholders or creditors for any damages as a result of any act or failure to act in his individual capacity as a director or officer unless it is proven that his act or failure to act constituted a breach of his fiduciary duties as a director or officer and his breach of those duties involved intentional misconduct, fraud, or a knowing violation of law. If the NRS is amended to further eliminate or limit or authorize corporate action to further eliminate or limit the liability of directors or officers, the liability of directors and</w:t>
            </w:r>
          </w:p>
        </w:tc>
        <w:tc>
          <w:tcPr>
            <w:tcW w:w="146" w:type="dxa"/>
            <w:tcBorders/>
          </w:tcPr>
          <w:p>
            <w:pPr>
              <w:pStyle w:val="TableContents"/>
              <w:bidi w:val="0"/>
              <w:spacing w:before="0" w:after="283"/>
              <w:jc w:val="left"/>
              <w:rPr/>
            </w:pPr>
            <w:r>
              <w:rPr/>
              <w:t> </w:t>
            </w:r>
          </w:p>
        </w:tc>
        <w:tc>
          <w:tcPr>
            <w:tcW w:w="644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Tenax Members or managers have any personal liability for the debts, obligations or liabilities of Tenax except to the extent provided in the DLLCA or the Tenax LLCA.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Tenax Members or managers are liable to Tenax or any other Tenax Member or manager for any loss, liability, damage or claim incurred by reason of any act or omission performed or omitted by such Tenax Member or manager in good faith on behalf of Tenax, except for any act taken by a Tenax Member or manager purporting to bind Tenax that has not been authorized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80"/>
        <w:gridCol w:w="146"/>
        <w:gridCol w:w="4879"/>
      </w:tblGrid>
      <w:tr>
        <w:trPr/>
        <w:tc>
          <w:tcPr>
            <w:tcW w:w="51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4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51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 of the corporation will be eliminated or limited to the fullest extent permitted by the NRS as so amended from time to time. Neither any amendment nor repeal of Article 9 of AIR’s articles of incorporation, nor the adoption of any provision of AIR’s articles of incorporation inconsistent with Article 9 of AIR’s articles of incorporation, will eliminate, reduce or otherwise adversely affect any limitation on the personal liability of a director or officer of the corporation existing at the time of such amendment, repeal or adoption of such an inconsistent provision.</w:t>
            </w:r>
          </w:p>
        </w:tc>
        <w:tc>
          <w:tcPr>
            <w:tcW w:w="146" w:type="dxa"/>
            <w:tcBorders/>
          </w:tcPr>
          <w:p>
            <w:pPr>
              <w:pStyle w:val="TableContents"/>
              <w:bidi w:val="0"/>
              <w:spacing w:before="0" w:after="283"/>
              <w:jc w:val="left"/>
              <w:rPr/>
            </w:pPr>
            <w:r>
              <w:rPr/>
              <w:t> </w:t>
            </w:r>
          </w:p>
        </w:tc>
        <w:tc>
          <w:tcPr>
            <w:tcW w:w="487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Tenax LLCA or any taken by a Tenax Member that constitutes a breach of the Tenax LLCA. A Tenax Member or manager is fully protected in relying in good faith upon the records of Tenax and upon such information, opinions, reports or statements presented to Tenax by any person or entity as to matters which such Tenax Member or manager reasonably believes are within such person’s or entity’s professional or expert competence.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LLCA is not intended to, and does not, create or impose any fiduciary duty on any Tenax Member or manager. Furthermore, each of the Tenax Members, the managers and Tenax waives any and all fiduciary duties (and all such fiduciary duties are hereby eliminated) that, absent such waiver, may be implied or imposed by applicable law, and in doing so, acknowledges and agrees that the duties and obligation of each Tenax Member and manager to each other and to Tenax are only as expressly set forth in the Tenax LLCA. The provisions of the Tenax LLCA, to the extent that they restrict or eliminate the duties and liabilities of a Tenax Member or a manager otherwise existing at law or in equity, are agreed by the Tenax Members and managers to replace such other duties and liabilities of such Tenax Members and managers, as applicable.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Directors/Managers and Officers and Advancement of Expenses</w:t>
            </w:r>
          </w:p>
        </w:tc>
      </w:tr>
      <w:tr>
        <w:trPr/>
        <w:tc>
          <w:tcPr>
            <w:tcW w:w="518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articles of incorporation provide that every person who was or is a party to, or is threatened to be made a party to, or is involved in any action, suit or proceeding, whether civil, criminal, administrative or investigative, by the reason of the fact that he or she, or a person with whom he or she is a legal representative, is or was a director or officer of AIR, or who is serving at the request of AIR as a director or officer of another corporation, or is a representative in a partnership, joint venture, trust or other enterprise, must be indemnified and held harmless to the fullest extent legally permissible under the laws of the State of Nevada from time to time against all expenses, liability and loss (including attorneys’ fees, judgments, fines, and amounts paid or to be paid in a settlement) reasonably incurred or suffered by him or her in connection therewith. Such right of indemnification is a contract right which may be enforced in any manner desired by such person. The AIR articles of incorporation also provide that the expenses of officers and directors incurred in defending a civil suit or proceeding must be paid by AIR as incurred and in advance of the final disposition of the action, suit, or proceeding, under receipt of an undertaking by or on behalf of the director or officer to repay the amount if it is ultimately determined by a court of competent jurisdiction that he or she is not entitled to be indemnified by AIR. Such right of indemnification is not exclusive of any other right of such directors, officers or representatives may have or acquire, and, without limiting the generality of such statement, they are entitled to their respective rights of indemnification under any bylaw agreement, vote of stockholders, provision of law, or otherwise, as well as their rights under Article 10 of AIR’s articles of incorporation.</w:t>
            </w:r>
          </w:p>
        </w:tc>
        <w:tc>
          <w:tcPr>
            <w:tcW w:w="146" w:type="dxa"/>
            <w:tcBorders/>
          </w:tcPr>
          <w:p>
            <w:pPr>
              <w:pStyle w:val="TableContents"/>
              <w:bidi w:val="0"/>
              <w:spacing w:before="0" w:after="283"/>
              <w:jc w:val="left"/>
              <w:rPr/>
            </w:pPr>
            <w:r>
              <w:rPr/>
              <w:t> </w:t>
            </w:r>
          </w:p>
        </w:tc>
        <w:tc>
          <w:tcPr>
            <w:tcW w:w="487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law, Tenax must indemnify an indemnified representative, which includes any and all Tenax Members (and any and all officers, directors and employees thereof), managers and officers of Tenax or any Tenax subsidiary, Tenax Warrantholders designated as an observer and any other person so designated by the Tenax Board, against any liability incurred in connection with any proceeding in which such representative may be involved as a party or otherwise by reason of the fact that such person is or was serving in an indemnified capacity (as defined in the Tenax LLCA), including liabilities resulting from any actual or alleged breach or neglect of duty, error, misstatement or misleading statement or act giving rise to strict products liability; provided, however, that any indemnity under the Tenax LLCA must be provided out of and to the extent of Tenax’s assets only, and no Tenax Member has any personal liability on account thereof; provided further that no indemnity is payable under the Tenax LLCA (i) against any liability incurred by such indemnified representative by reason of any action or omission that constitutes fraud, willful misconduct or gross negligence or for which a corporation, incorporated under the General Corporations Law of the State of Delaware, would not be permitted under applicable law to indemnify or (ii) in connection with any proceeding between the Tenax Members or Tenax Warrantholders or any claim for breach by a Tenax Member or Tenax Warrantholder of the Tenax LLCA or other related agreements.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63"/>
        <w:gridCol w:w="146"/>
        <w:gridCol w:w="5296"/>
      </w:tblGrid>
      <w:tr>
        <w:trPr/>
        <w:tc>
          <w:tcPr>
            <w:tcW w:w="47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bottom"/>
          </w:tcPr>
          <w:p>
            <w:pPr>
              <w:pStyle w:val="TableContents"/>
              <w:bidi w:val="0"/>
              <w:spacing w:before="0" w:after="283"/>
              <w:jc w:val="left"/>
              <w:rPr/>
            </w:pPr>
            <w:r>
              <w:rPr/>
              <w:t> </w:t>
            </w:r>
          </w:p>
        </w:tc>
        <w:tc>
          <w:tcPr>
            <w:tcW w:w="52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4763" w:type="dxa"/>
            <w:tcBorders/>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limiting the application of the foregoing, the AIR Board may adopt bylaws from time to time with respect to indemnification, to provide at all times the fullest indemnification permitted by the laws of the State of Nevada, and may cause the corporation to purchase or maintain insurance on behalf of any person who is or was a director or officer of the corporation or who is serving at the request of the corporation as an officer, director or representative of any other entity or other enterprise against any liability asserted against such person and incurred in any such capacity or arising out of such status, whether or not the corporation would have the power to indemnify such person.</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modification of the applicable provisions of Article 10 of AIR’s articles of incorporation, approved by the AIR stockholders, is prospective only, and does not adversely affect any limitation on the liability of a director or officer of the corporation existing as of the time of such repeal or modification.</w:t>
            </w:r>
          </w:p>
        </w:tc>
        <w:tc>
          <w:tcPr>
            <w:tcW w:w="146" w:type="dxa"/>
            <w:tcBorders/>
          </w:tcPr>
          <w:p>
            <w:pPr>
              <w:pStyle w:val="TableContents"/>
              <w:bidi w:val="0"/>
              <w:spacing w:before="0" w:after="283"/>
              <w:jc w:val="left"/>
              <w:rPr/>
            </w:pPr>
            <w:r>
              <w:rPr/>
              <w:t> </w:t>
            </w:r>
          </w:p>
        </w:tc>
        <w:tc>
          <w:tcPr>
            <w:tcW w:w="5296"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law, Tenax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Tenax pursuant to Article IX of the Tenax LLCA.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may maintain insurance, obtain a letter of credit, act as self-insurer, create a reserve, trust, escrow, cash collateral or other fund or account, enter into indemnification agreements, pledge or grant a security interest in any assets or properties of Tenax, or use any other mechanism or arrangement whatsoever in such amounts, at such costs, and upon such other terms and conditions as the Tenax Board deems appropriate.</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granted by Article IX of the Tenax LLCA are not deemed exclusive of any other rights to which those seeking indemnification, contribution or advancement of expenses may be entitled under any statute, agreement, vote of the Tenax Members or disinterested Tenax Members or otherwise, both as to action in an indemnified capacity and as to action in any other capacity. The indemnification, contribution and advancement of expenses provided by or granted pursuant to Article IX of the Tenax LLCA continue as to a person who has ceased to be an indemnified representative in respect of matters arising prior to such time, and inure to the benefit of the successors, heirs, executors, administrators and personal representatives of such a person.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9" w:name="T9979"/>
      <w:bookmarkEnd w:id="79"/>
      <w:r>
        <w:rPr>
          <w:rFonts w:ascii="Times New Roman PS Std;serif" w:hAnsi="Times New Roman PS Std;serif"/>
          <w:b/>
          <w:i w:val="false"/>
          <w:caps w:val="false"/>
          <w:smallCaps w:val="false"/>
          <w:sz w:val="20"/>
        </w:rPr>
        <w:t xml:space="preserve">PRINCIPAL HOLDERS OF AIR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July 10, 2026, certain information with respect to the shares of AIR common stock beneficially owned by (i) stockholders known to us to own more than 5% of the outstanding shares of AIR common stock, (ii) each of our directors and Named Executive Officers and (iii) all of our executive officers and directors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shares beneficially owned listed in the table below is based on 4,850,658 shares of AIR common stock outstanding as of July 10,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shares over which a person exercises sole or shared voting or investment power. Except as indicated by the footnotes below, AIR believes, based on the information furnished to it, that the persons named in the table below have sole voting and investment power with respect to all shares of AIR common stock shown that they beneficially own,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Air Industries Group, 1460 Fifth Avenue, Bay Shore, New York 11706.</w:t>
      </w:r>
    </w:p>
    <w:tbl>
      <w:tblPr>
        <w:tblW w:w="10205" w:type="dxa"/>
        <w:jc w:val="left"/>
        <w:tblInd w:w="0" w:type="dxa"/>
        <w:tblLayout w:type="fixed"/>
        <w:tblCellMar>
          <w:top w:w="0" w:type="dxa"/>
          <w:left w:w="0" w:type="dxa"/>
          <w:bottom w:w="0" w:type="dxa"/>
          <w:right w:w="0" w:type="dxa"/>
        </w:tblCellMar>
      </w:tblPr>
      <w:tblGrid>
        <w:gridCol w:w="7135"/>
        <w:gridCol w:w="146"/>
        <w:gridCol w:w="1126"/>
        <w:gridCol w:w="554"/>
        <w:gridCol w:w="146"/>
        <w:gridCol w:w="706"/>
        <w:gridCol w:w="392"/>
      </w:tblGrid>
      <w:tr>
        <w:trPr/>
        <w:tc>
          <w:tcPr>
            <w:tcW w:w="713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09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697,134</w:t>
            </w:r>
          </w:p>
        </w:tc>
        <w:tc>
          <w:tcPr>
            <w:tcW w:w="554"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494,923</w:t>
            </w:r>
          </w:p>
        </w:tc>
        <w:tc>
          <w:tcPr>
            <w:tcW w:w="55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9.79</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87,451</w:t>
            </w:r>
          </w:p>
        </w:tc>
        <w:tc>
          <w:tcPr>
            <w:tcW w:w="554"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Buonanno</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43,222</w:t>
            </w:r>
          </w:p>
        </w:tc>
        <w:tc>
          <w:tcPr>
            <w:tcW w:w="55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46,670</w:t>
            </w:r>
          </w:p>
        </w:tc>
        <w:tc>
          <w:tcPr>
            <w:tcW w:w="554"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Porcelain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162,802</w:t>
            </w:r>
          </w:p>
        </w:tc>
        <w:tc>
          <w:tcPr>
            <w:tcW w:w="55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 Acting Chief Executive Officer and President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50,221</w:t>
            </w:r>
          </w:p>
        </w:tc>
        <w:tc>
          <w:tcPr>
            <w:tcW w:w="554"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(7 persons owning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1,582,423</w:t>
            </w:r>
          </w:p>
        </w:tc>
        <w:tc>
          <w:tcPr>
            <w:tcW w:w="55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28.44</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 Vice President of Finance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5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L. Frischer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55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and Jeffery E. Eberwein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285,000</w:t>
            </w:r>
          </w:p>
        </w:tc>
        <w:tc>
          <w:tcPr>
            <w:tcW w:w="554"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shares owned by Mr. Taglich, 203,012 shares he may acquire upon conversion of convertible notes, but excluding shares for accrued interest thereon, 12,159 shares that he may acquire upon exercising RSUs and 26,120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shares owned by Mr. Taglich, 168,907 shares he may acquire upon conversion of convertible notes, but excluding shares for accrued interest thereon, 12,159 shares he may acquire upon exercising RSUs and 26,120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12,159 shares he may acquire upon converting RSUs and 48,140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12,159 shares he may acquire upon converting RSUs and 26,260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12,159 shares he may acquire upon converting RSUs and 28,260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60,791 shares he may acquire upon converting RSUs and 26,260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24,139 shares he may acquire upon converting RSUs and 14,100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371,919 shares that may be acquired upon conversion of convertible notes, 145,725 that may be acquired upon conversion of RSUs and 195,260 shares that may be acquired upon exercise of options.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share information set forth below is based on the Schedule 13D filed with the SEC and the Company on April 27, 2026 reflecting ownership as of that date. The beneficial ownership percentage set forth below is based upon 4,850,658 shares outstanding as of July 10, 2026.</w:t>
      </w:r>
    </w:p>
    <w:tbl>
      <w:tblPr>
        <w:tblW w:w="9343" w:type="dxa"/>
        <w:jc w:val="left"/>
        <w:tblInd w:w="0" w:type="dxa"/>
        <w:tblLayout w:type="fixed"/>
        <w:tblCellMar>
          <w:top w:w="0" w:type="dxa"/>
          <w:left w:w="0" w:type="dxa"/>
          <w:bottom w:w="0" w:type="dxa"/>
          <w:right w:w="0" w:type="dxa"/>
        </w:tblCellMar>
      </w:tblPr>
      <w:tblGrid>
        <w:gridCol w:w="1906"/>
        <w:gridCol w:w="146"/>
        <w:gridCol w:w="946"/>
        <w:gridCol w:w="146"/>
        <w:gridCol w:w="961"/>
        <w:gridCol w:w="146"/>
        <w:gridCol w:w="1351"/>
        <w:gridCol w:w="146"/>
        <w:gridCol w:w="1351"/>
        <w:gridCol w:w="146"/>
        <w:gridCol w:w="946"/>
        <w:gridCol w:w="146"/>
        <w:gridCol w:w="603"/>
        <w:gridCol w:w="403"/>
      </w:tblGrid>
      <w:tr>
        <w:trPr/>
        <w:tc>
          <w:tcPr>
            <w:tcW w:w="1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Voting </w:t>
              <w:br/>
              <w:t>Power</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Voting </w:t>
              <w:br/>
              <w:t>Power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Dispositive </w:t>
              <w:br/>
              <w:t>Power</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Dispositive </w:t>
              <w:br/>
              <w:t>Power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1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L. Frischer</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Charles L. Frischer is 3156 East Laurelhurst Drive, NE, Seattle, WA 98105.</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The share information set forth below is based on the Schedule 13D filed with the SEC and the Company on January 21, 2026 reflecting ownership as of that date. The beneficial ownership percentage set forth below is based upon 4,850,658 shares outstanding as of July 10, 2026.</w:t>
      </w:r>
    </w:p>
    <w:tbl>
      <w:tblPr>
        <w:tblW w:w="10205" w:type="dxa"/>
        <w:jc w:val="left"/>
        <w:tblInd w:w="0" w:type="dxa"/>
        <w:tblLayout w:type="fixed"/>
        <w:tblCellMar>
          <w:top w:w="0" w:type="dxa"/>
          <w:left w:w="0" w:type="dxa"/>
          <w:bottom w:w="0" w:type="dxa"/>
          <w:right w:w="0" w:type="dxa"/>
        </w:tblCellMar>
      </w:tblPr>
      <w:tblGrid>
        <w:gridCol w:w="2821"/>
        <w:gridCol w:w="146"/>
        <w:gridCol w:w="946"/>
        <w:gridCol w:w="146"/>
        <w:gridCol w:w="943"/>
        <w:gridCol w:w="146"/>
        <w:gridCol w:w="1333"/>
        <w:gridCol w:w="146"/>
        <w:gridCol w:w="1333"/>
        <w:gridCol w:w="146"/>
        <w:gridCol w:w="946"/>
        <w:gridCol w:w="146"/>
        <w:gridCol w:w="603"/>
        <w:gridCol w:w="404"/>
      </w:tblGrid>
      <w:tr>
        <w:trPr/>
        <w:tc>
          <w:tcPr>
            <w:tcW w:w="28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Voting </w:t>
              <w:br/>
              <w:t>Power</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Voting </w:t>
              <w:br/>
              <w:t>Power</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Dispositive </w:t>
              <w:br/>
              <w:t>Power</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Dispositive </w:t>
              <w:br/>
              <w:t>Power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Holdings, Inc</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Operating Companies, Inc.</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LP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GP, LLC</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Investment Management, LLC</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Value Investments, LLC</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6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E. Eberwein</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285,000</w:t>
            </w:r>
          </w:p>
        </w:tc>
        <w:tc>
          <w:tcPr>
            <w:tcW w:w="146"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w:t>
            </w:r>
          </w:p>
        </w:tc>
        <w:tc>
          <w:tcPr>
            <w:tcW w:w="4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Star Equity, Star Operating Companies, Star Equity Fund, Star Equity GP, Star Investment Management, Star Value Investments and Mr. Jeffrey E. Eberwein is 53 Forest Avenue, Suite 101, Old Greenwich, Connecticut 06870.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0" w:name="T9980"/>
      <w:bookmarkEnd w:id="80"/>
      <w:r>
        <w:rPr>
          <w:rFonts w:ascii="Times New Roman PS Std;serif" w:hAnsi="Times New Roman PS Std;serif"/>
          <w:b/>
          <w:i w:val="false"/>
          <w:caps w:val="false"/>
          <w:smallCaps w:val="false"/>
          <w:sz w:val="20"/>
        </w:rPr>
        <w:t xml:space="preserve">PRINCIPAL HOLDERS OF TENAX UNITS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June 30, 2026, certain information with respect to the Tenax units beneficially owned by (i) each person, or group of affiliated persons, who beneficially owned more than 5% of the outstanding Tenax units and who will become the beneficial owner of more than 5% of the combined company upon completion of the merger, (ii) each of Tenax’s managers and executive officers who will become a director or executive officer of the combined company and (iii) all of Tenax’s current managers and executive officers who will be directors and executive officers of the combined company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units beneficially owned listed in the table below is based on 7,695,000 Tenax units outstanding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units over which a person exercises sole or shared voting or investment power. Except as indicated by the footnotes below, Tenax believes, based on the information furnished to it, that the persons named in the table below have sole voting and investment power with respect to all Tenax units shown that they beneficially own,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Tenax Aerospace Acquisition, LLC, 400 West Parkway Place, Suite 201, Ridgeland, Mississippi 39157.</w:t>
      </w:r>
    </w:p>
    <w:tbl>
      <w:tblPr>
        <w:tblW w:w="10205" w:type="dxa"/>
        <w:jc w:val="left"/>
        <w:tblInd w:w="0" w:type="dxa"/>
        <w:tblLayout w:type="fixed"/>
        <w:tblCellMar>
          <w:top w:w="0" w:type="dxa"/>
          <w:left w:w="0" w:type="dxa"/>
          <w:bottom w:w="0" w:type="dxa"/>
          <w:right w:w="0" w:type="dxa"/>
        </w:tblCellMar>
      </w:tblPr>
      <w:tblGrid>
        <w:gridCol w:w="6132"/>
        <w:gridCol w:w="146"/>
        <w:gridCol w:w="2443"/>
        <w:gridCol w:w="146"/>
        <w:gridCol w:w="946"/>
        <w:gridCol w:w="392"/>
      </w:tblGrid>
      <w:tr>
        <w:trPr/>
        <w:tc>
          <w:tcPr>
            <w:tcW w:w="61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Units </w:t>
              <w:br/>
              <w:t>Beneficially Owned</w:t>
            </w:r>
          </w:p>
        </w:tc>
        <w:tc>
          <w:tcPr>
            <w:tcW w:w="146" w:type="dxa"/>
            <w:tcBorders/>
            <w:vAlign w:val="bottom"/>
          </w:tcPr>
          <w:p>
            <w:pPr>
              <w:pStyle w:val="TableContents"/>
              <w:bidi w:val="0"/>
              <w:spacing w:before="0" w:after="283"/>
              <w:jc w:val="left"/>
              <w:rPr/>
            </w:pPr>
            <w:r>
              <w:rPr/>
              <w:t> </w:t>
            </w:r>
          </w:p>
        </w:tc>
        <w:tc>
          <w:tcPr>
            <w:tcW w:w="13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6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Managers and Executive Officers:</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Foley(1)</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4,446,977 Class A-1 Units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57.7905</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Bakker(1)</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1,008,378 Class A-1 Units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13.1043</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Linder(2)</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 Class A-3 Units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3.2489</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Ladegui(2)</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 Class A-3 Units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1.6244</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Oswalt(2)</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 Class A-3 Units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2.4366</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Managers and Executive Officers as a group (5 persons owning units)</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6,017,855 Units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78.2047</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Units:</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bidi w:val="0"/>
              <w:spacing w:before="0" w:after="283"/>
              <w:ind w:left="200" w:right="0" w:hanging="20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ind w:left="200" w:right="0" w:hanging="200"/>
              <w:jc w:val="left"/>
              <w:rPr>
                <w:sz w:val="4"/>
                <w:szCs w:val="4"/>
              </w:rPr>
            </w:pPr>
            <w:r>
              <w:rPr>
                <w:sz w:val="4"/>
                <w:szCs w:val="4"/>
              </w:rPr>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Foley(1)</w:t>
            </w:r>
          </w:p>
        </w:tc>
        <w:tc>
          <w:tcPr>
            <w:tcW w:w="146" w:type="dxa"/>
            <w:tcBorders/>
            <w:shd w:fill="CCEEFF" w:val="clear"/>
            <w:vAlign w:val="bottom"/>
          </w:tcPr>
          <w:p>
            <w:pPr>
              <w:pStyle w:val="TableContents"/>
              <w:bidi w:val="0"/>
              <w:spacing w:before="0" w:after="283"/>
              <w:jc w:val="left"/>
              <w:rPr/>
            </w:pPr>
            <w:r>
              <w:rPr/>
              <w:t> </w:t>
            </w:r>
          </w:p>
        </w:tc>
        <w:tc>
          <w:tcPr>
            <w:tcW w:w="244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4,446,977 Class A-1 Units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57.7905</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Bakker(1)</w:t>
            </w:r>
          </w:p>
        </w:tc>
        <w:tc>
          <w:tcPr>
            <w:tcW w:w="146" w:type="dxa"/>
            <w:tcBorders/>
            <w:vAlign w:val="bottom"/>
          </w:tcPr>
          <w:p>
            <w:pPr>
              <w:pStyle w:val="TableContents"/>
              <w:bidi w:val="0"/>
              <w:spacing w:before="0" w:after="283"/>
              <w:jc w:val="left"/>
              <w:rPr/>
            </w:pPr>
            <w:r>
              <w:rPr/>
              <w:t> </w:t>
            </w:r>
          </w:p>
        </w:tc>
        <w:tc>
          <w:tcPr>
            <w:tcW w:w="24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1,008,378 Class A-1 Units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13.1043</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Tenax units held indirectly through membership interests in NTC Equity Holdings, LLC.</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Tenax units held indirectly through membership interests in Managers Equity,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1" w:name="T9981"/>
      <w:bookmarkEnd w:id="81"/>
      <w:r>
        <w:rPr>
          <w:rFonts w:ascii="Times New Roman PS Std;serif" w:hAnsi="Times New Roman PS Std;serif"/>
          <w:b/>
          <w:i w:val="false"/>
          <w:caps w:val="false"/>
          <w:smallCaps w:val="false"/>
          <w:sz w:val="20"/>
        </w:rPr>
        <w:t xml:space="preserve">PRINCIPAL STOCKHOLDERS OF COMBINED COMPANY </w:t>
      </w:r>
    </w:p>
    <w:p>
      <w:pPr>
        <w:pStyle w:val="TextBody"/>
        <w:keepNext w:val="true"/>
        <w:pageBreakBefore w:val="false"/>
        <w:widowControl/>
        <w:pBdr/>
        <w:bidi w:val="0"/>
        <w:spacing w:before="12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information does not give effect to the reverse stock split.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June 30, 2026, certain information with respect to the shares of AIR common stock beneficially owned by (i) stockholders expected by AIR and Tenax to own more than 5% of the outstanding shares of common stock of the combined company, (ii) each person expected to be a director or named executive officer of the combined company and (iii) all of the combined company’s expected executive officers and directors as a group.</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shares beneficially owned listed in the table below is based on 125,307,820 shares of AIR common stock expected to be outstanding upon the closing of the merger. Neither AIR nor Tenax know of any arrangements, including any pledge by any person of securities of the combined company, the operation of which may at a subsequent date result in a change in control of the combined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shares over which a person exercises sole or shared voting or investment power. Except as indicated by the footnotes below, AIR and Tenax believe, based on the information furnished to them, that the persons named in the table below will have sole voting and investment power with respect to all shares of AIR common stock shown that they beneficially own as of the closing,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after the closing of the merger, holders of AIR common stock as of immediately prior to the effective time are expected to collectively own approximately 4% of the outstanding shares of the common stock of the combined company, on a fully diluted basis, and the Tenax Members and Tenax Warrantholders as of immediately prior to the effective time are expected to collectively own approximately 96% of the outstanding shares of the common stock of the combined company, on a fully diluted basis. The following table and the related notes assume that, at the effective time, (i) the outstanding Tenax units will convert into the right to receive approximately 120,457,162 shares of AIR common stock, subject to adjustment as provided in the merger agreement including in connection with the reverse stock split, and (ii) no Tenax Warrantholders exercise their warrants to purchase Tenax units prior to the closing of the merger. For more information, see the section entitled “The Merger Agreement — Adjustments to the Merger Consideration” beginning on page 38 of this proxy statement/prospectus.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Tenax Aerospace Acquisition, LLC, 400 West Parkway Place, Suite 201, Ridgeland, Mississippi 39157.</w:t>
      </w:r>
    </w:p>
    <w:tbl>
      <w:tblPr>
        <w:tblW w:w="10205" w:type="dxa"/>
        <w:jc w:val="left"/>
        <w:tblInd w:w="0" w:type="dxa"/>
        <w:tblLayout w:type="fixed"/>
        <w:tblCellMar>
          <w:top w:w="0" w:type="dxa"/>
          <w:left w:w="0" w:type="dxa"/>
          <w:bottom w:w="0" w:type="dxa"/>
          <w:right w:w="0" w:type="dxa"/>
        </w:tblCellMar>
      </w:tblPr>
      <w:tblGrid>
        <w:gridCol w:w="7182"/>
        <w:gridCol w:w="146"/>
        <w:gridCol w:w="1393"/>
        <w:gridCol w:w="146"/>
        <w:gridCol w:w="946"/>
        <w:gridCol w:w="392"/>
      </w:tblGrid>
      <w:tr>
        <w:trPr/>
        <w:tc>
          <w:tcPr>
            <w:tcW w:w="71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3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71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Linder(1)</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3,913,484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3.1231</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Ladegui(1)</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1,956,742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1.5615</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Oswalt(1)</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2,935,113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2.3423</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Foley(2)</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68,656,364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54.7902</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Bakker(2)</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16,239,370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12.9596</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Fawcett</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Bryan Fenton</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DeWolfe Miller</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Young</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0.7808</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 persons owning shares)</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94,679,445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75.5575</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Shares:</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Foley(2)</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68,656,364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54.7902</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Bakker(2)</w:t>
            </w:r>
          </w:p>
        </w:tc>
        <w:tc>
          <w:tcPr>
            <w:tcW w:w="146"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16,239,370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12.9596</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Tenax units held indirectly through membership interests in Managers Equity, LLC as converted into shares of AIR common stock.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Tenax units held indirectly through membership interests in NTC Equity Holdings, LLC as converted into shares of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2" w:name="T9982"/>
      <w:bookmarkEnd w:id="82"/>
      <w:r>
        <w:rPr>
          <w:rFonts w:ascii="Times New Roman PS Std;serif" w:hAnsi="Times New Roman PS Std;serif"/>
          <w:b/>
          <w:i w:val="false"/>
          <w:caps w:val="false"/>
          <w:smallCaps w:val="false"/>
          <w:sz w:val="20"/>
        </w:rPr>
        <w:t xml:space="preserve">NO DISSENTER’S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NRS, there are no rights of dissent available to the stockholders of AIR in connection with the Transactions.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3" w:name="T9983"/>
      <w:bookmarkEnd w:id="83"/>
      <w:r>
        <w:rPr>
          <w:rFonts w:ascii="Times New Roman PS Std;serif" w:hAnsi="Times New Roman PS Std;serif"/>
          <w:b/>
          <w:i w:val="false"/>
          <w:caps w:val="false"/>
          <w:smallCaps w:val="false"/>
          <w:sz w:val="20"/>
        </w:rPr>
        <w:t xml:space="preserve">DELIVERY OF PROXY MATERIALS TO HOUSEHOLDS WITH MULTIPLE STOCKHOLDERS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consented to the delivery of only one set of proxy materials, as applicable, to multiple AIR stockholders who share your address, then only one set of proxy materials, as applicable, will be delivered to your household unless we have received contrary instructions from one or more of the stockholders sharing your address. We will deliver promptly, upon oral or written request, a separate copy of the set of proxy materials, as applicable, to any stockholder at your address. If, now or in the future, you wish to receive a separate copy of the set of proxy materials, as applicable, you may call us at (631) 968-5000 (please ask for Investor Relations) or write to us at 1460 Fifth Avenue, Bay Shore, NY 11706, Attn: Investor Relations. Stockholders sharing an address who now receive multiple copies of the set of proxy materials, as applicable, may request delivery of a single copy by calling us at the above number or writing to us at the above address.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4" w:name="T9984"/>
      <w:bookmarkEnd w:id="84"/>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 will pass on the validity of the AIR common stock offered by this proxy statement/prospectus.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5" w:name="T9985"/>
      <w:bookmarkEnd w:id="85"/>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AIR and its subsidiaries as of and for the year ended December 31, 2025, have been audited by CBIZ CPAs P.C., an independent registered public accounting firm, as stated in their report which includes an explanatory paragraph as to the Company’s ability to continue as a going concern. We have included our financial statements in this proxy statement/prospectus in reliance upon the report pertaining to such financial statements of such firm given on their authority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AIR and its subsidiaries as of and for the year ended December 31, 2024, have been audited by Marcum LLP, an independent registered public accounting firm, as stated in their report which includes an explanatory paragraph as to the Company’s ability to continue as a going concern. We have included our financial statements in this proxy statement/prospectus in reliance upon the report pertaining to such financial statements of such firm given on their authority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Tenax and its subsidiaries as of December 31, 2025 and 2024, and for each of the years in the three-year period ended December 31, 2025, have been audited by KPMG LLP, independent auditors, as stated in their report appearing herein. Such consolidated financial statements are included in reliance upon the report of such firm given their authority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6" w:name="T9986"/>
      <w:bookmarkEnd w:id="86"/>
      <w:r>
        <w:rPr>
          <w:rFonts w:ascii="Times New Roman PS Std;serif" w:hAnsi="Times New Roman PS Std;serif"/>
          <w:b/>
          <w:i w:val="false"/>
          <w:caps w:val="false"/>
          <w:smallCaps w:val="false"/>
          <w:sz w:val="20"/>
        </w:rPr>
        <w:t xml:space="preserve">INDEPENDENT AUDITORS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Tenax’s unaudited interim financial information for the periods ended March 31, 2026 and 2025, included herein, the independent auditor for Tenax, KPMG LLP, has reported that they applied limited procedures in accordance with professional standards for a review of such information. However, their separate report for Tenax’s quarter ended March 31, 2026, and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for their report on the unaudited interim financial information because that report is not a “report” or a “part” of the registration statement prepared or certified by the accountants within the meaning of Sections 7 and 11 of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7" w:name="T9987"/>
      <w:bookmarkEnd w:id="87"/>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AIR files annual, quarterly and current reports, proxy statements and other information with the SEC. You may read and copy any documents AIR files at the SEC public reference room located at 100 F Street, N.E., Room 1503, Washington, D.C. 20549. Please call the SEC at 1-800-SEC-0330 for further information on the public reference room. The SEC filings of AIR are also available to the public at the SEC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In addition, you may obtain free copies of the documents AIR files with the SEC by going to AIR’s Internet website at </w:t>
      </w:r>
      <w:r>
        <w:rPr>
          <w:rFonts w:ascii="Times New Roman PS Std;serif" w:hAnsi="Times New Roman PS Std;serif"/>
          <w:b w:val="false"/>
          <w:i/>
          <w:caps w:val="false"/>
          <w:smallCaps w:val="false"/>
          <w:sz w:val="20"/>
        </w:rPr>
        <w:t>www.investors.airindustriesgroup.com</w:t>
      </w:r>
      <w:r>
        <w:rPr>
          <w:rFonts w:ascii="Times New Roman PS Std;serif" w:hAnsi="Times New Roman PS Std;serif"/>
          <w:b w:val="false"/>
          <w:i w:val="false"/>
          <w:caps w:val="false"/>
          <w:smallCaps w:val="false"/>
          <w:sz w:val="20"/>
        </w:rPr>
        <w:t xml:space="preserve"> under the “Financials” heading and then under the “SEC Filings” link. The Internet website address of AIR is provided as an inactive textual reference only. The information provided on the Internet website of AIR is not part of this proxy statement/prospectus and, therefore, is not incorporated herein by reference.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contained in this proxy statement/prospectus, or in any document incorporated by reference into this proxy statement/prospectus, regarding the contents of any contract or other document are not necessarily complete, and each such statement is qualified in its entirety by reference to that contract or other document filed as an exhibit with the SEC. The SEC allows AIR to “incorporate by reference” into this proxy statement/prospectus documents AIR files with the SEC. This means that AIR can disclose important information to you by referring you to those documents. This document incorporates by reference documents that AIR may file with the SEC after the date of this document and prior to the date of the AIR stockholders meeting. The information incorporated by reference into this proxy statement/prospectus is considered to be a part of this proxy statement/prospectus, and later information that AIR files with the SEC may update and supersede that information. AIR incorporates by reference any documents subsequently filed by it pursuant to Section 13(a), 13(c), 14 or 15(d) of the Exchange Act and before the date of the AIR stockholders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may request copies of this proxy statement/prospectus and any of the documents incorporated by reference into this proxy statement/prospectus or other information concerning AIR, without charge, by written or telephonic request directed to AIR at 1460 Fifth Avenue, Bay Shore, NY 11706, Attn: Investor Relations, Telephone: (631) 968-5000; or Advantage Proxy, AIR’s proxy solicitor, by calling toll-free at (877) 870-8565 or, for banks, brokerage firms and other nominees, collect at (206) 870-8565; or from the SEC through the SEC website at the address provided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information furnished by AIR on any Current Report on Form 8-K, including the related exhibits, that, pursuant to and in accordance with the rules and regulations of the SEC, is not deemed “filed” for purposes of the Exchange Act will not be deemed to be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currently file reports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THE SOLICITATION OF A PROXY IN ANY JURISDICTION TO OR FROM ANY PERSON TO WHOM OR FROM WHOM IT IS UNLAWFUL TO MAKE SUCH PROXY SOLICITATION IN THAT JURISDICTION. YOU SHOULD RELY ONLY ON THE INFORMATION CONTAINED OR INCORPORATED BY REFERENCE INTO THIS PROXY STATEMENT/PROSPECTUS TO VOTE YOUR SHARES OF AIR COMMON STOCK AT THE AIR STOCKHOLDERS MEETING. AIR HAS NOT AUTHORIZED ANYONE TO PROVIDE YOU WITH INFORMATION THAT IS DIFFERENT FROM WHAT IS CONTAINED IN THIS PROXY STATEMENT/PROSPECTUS. THIS PROXY STATEMENT/PROSPECTUS IS DATED JULY [•], 2026. YOU SHOULD NOT ASSUME THAT THE INFORMATION CONTAINED IN THIS PROXY STATEMENT/PROSPECTUS IS ACCURATE AS OF ANY DATE OTHER THAN THAT DATE, AND THE MAILING OF THIS PROXY STATEMENT/PROSPECTUS TO STOCKHOLDERS DOES NOT CREATE ANY IMPLICATION TO THE CONTRARY.</w:t>
      </w:r>
    </w:p>
    <w:tbl>
      <w:tblPr>
        <w:tblW w:w="4763" w:type="dxa"/>
        <w:jc w:val="left"/>
        <w:tblInd w:w="0" w:type="dxa"/>
        <w:tblLayout w:type="fixed"/>
        <w:tblCellMar>
          <w:top w:w="0" w:type="dxa"/>
          <w:left w:w="0" w:type="dxa"/>
          <w:bottom w:w="0" w:type="dxa"/>
          <w:right w:w="0" w:type="dxa"/>
        </w:tblCellMar>
      </w:tblPr>
      <w:tblGrid>
        <w:gridCol w:w="161"/>
        <w:gridCol w:w="146"/>
        <w:gridCol w:w="445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4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56"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Acting Chief Executive Officer and President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4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8" w:name="T1998"/>
      <w:bookmarkEnd w:id="88"/>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Condensed Consolidated 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950">
              <w:r>
                <w:rPr>
                  <w:rStyle w:val="InternetLink"/>
                  <w:rFonts w:ascii="Times New Roman PS Std;serif" w:hAnsi="Times New Roman PS Std;serif"/>
                  <w:b w:val="false"/>
                  <w:i w:val="false"/>
                  <w:caps w:val="false"/>
                  <w:smallCaps w:val="false"/>
                  <w:sz w:val="20"/>
                </w:rPr>
                <w:t xml:space="preserve">Condensed Consolidated Balance Sheets as of March 31, 2026 (unaudited) and December 31,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951">
              <w:r>
                <w:rPr>
                  <w:rStyle w:val="InternetLink"/>
                  <w:rFonts w:ascii="Times New Roman PS Std;serif" w:hAnsi="Times New Roman PS Std;serif"/>
                  <w:b w:val="false"/>
                  <w:i w:val="false"/>
                  <w:caps w:val="false"/>
                  <w:smallCaps w:val="false"/>
                  <w:sz w:val="20"/>
                </w:rPr>
                <w:t xml:space="preserve">Condensed Consolidated Statements of Operations for the three months ended March 31,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952">
              <w:r>
                <w:rPr>
                  <w:rStyle w:val="InternetLink"/>
                  <w:rFonts w:ascii="Times New Roman PS Std;serif" w:hAnsi="Times New Roman PS Std;serif"/>
                  <w:b w:val="false"/>
                  <w:i w:val="false"/>
                  <w:caps w:val="false"/>
                  <w:smallCaps w:val="false"/>
                  <w:sz w:val="20"/>
                </w:rPr>
                <w:t xml:space="preserve">Condensed Consolidated Statements of Changes in Stockholders’ Equity for the three months ended March 31, 2026 and 2025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953">
              <w:r>
                <w:rPr>
                  <w:rStyle w:val="InternetLink"/>
                  <w:rFonts w:ascii="Times New Roman PS Std;serif" w:hAnsi="Times New Roman PS Std;serif"/>
                  <w:b w:val="false"/>
                  <w:i w:val="false"/>
                  <w:caps w:val="false"/>
                  <w:smallCaps w:val="false"/>
                  <w:sz w:val="20"/>
                </w:rPr>
                <w:t xml:space="preserve">Condensed Consolidated Statements of Cash Flows for the three months ended March 31,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954">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 xml:space="preserve">Report of Independent Registered Public Accounting Firm — CBIZ CPAs P.C. (PCAOB ID No: 199)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7">
              <w:r>
                <w:rPr>
                  <w:rStyle w:val="InternetLink"/>
                  <w:rFonts w:ascii="Times New Roman PS Std;serif" w:hAnsi="Times New Roman PS Std;serif"/>
                  <w:b w:val="false"/>
                  <w:i w:val="false"/>
                  <w:caps w:val="false"/>
                  <w:smallCaps w:val="false"/>
                  <w:sz w:val="20"/>
                </w:rPr>
                <w:t xml:space="preserve">Report of Independent Registered Public Accounting Firm — Marcum LLP (PCAOB ID No: 688)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F-22</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8">
              <w:r>
                <w:rPr>
                  <w:rStyle w:val="InternetLink"/>
                  <w:rFonts w:ascii="Times New Roman PS Std;serif" w:hAnsi="Times New Roman PS Std;serif"/>
                  <w:b w:val="false"/>
                  <w:i w:val="false"/>
                  <w:caps w:val="false"/>
                  <w:smallCaps w:val="false"/>
                  <w:sz w:val="20"/>
                </w:rPr>
                <w:t xml:space="preserve">Consolidated Balance Sheets — As of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09">
              <w:r>
                <w:rPr>
                  <w:rStyle w:val="InternetLink"/>
                  <w:rFonts w:ascii="Times New Roman PS Std;serif" w:hAnsi="Times New Roman PS Std;serif"/>
                  <w:b w:val="false"/>
                  <w:i w:val="false"/>
                  <w:caps w:val="false"/>
                  <w:smallCaps w:val="false"/>
                  <w:sz w:val="20"/>
                </w:rPr>
                <w:t xml:space="preserve">Consolidated Statements of Operations — For the Years Ended December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10">
              <w:r>
                <w:rPr>
                  <w:rStyle w:val="InternetLink"/>
                  <w:rFonts w:ascii="Times New Roman PS Std;serif" w:hAnsi="Times New Roman PS Std;serif"/>
                  <w:b w:val="false"/>
                  <w:i w:val="false"/>
                  <w:caps w:val="false"/>
                  <w:smallCaps w:val="false"/>
                  <w:sz w:val="20"/>
                </w:rPr>
                <w:t xml:space="preserve">Consolidated Statements of Changes in Stockholders’ Equity — For the Years Ended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11">
              <w:r>
                <w:rPr>
                  <w:rStyle w:val="InternetLink"/>
                  <w:rFonts w:ascii="Times New Roman PS Std;serif" w:hAnsi="Times New Roman PS Std;serif"/>
                  <w:b w:val="false"/>
                  <w:i w:val="false"/>
                  <w:caps w:val="false"/>
                  <w:smallCaps w:val="false"/>
                  <w:sz w:val="20"/>
                </w:rPr>
                <w:t xml:space="preserve">Consolidated Statements of Cash Flows — For the Years Ended December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12">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9" w:name="T1999"/>
      <w:bookmarkEnd w:id="89"/>
      <w:r>
        <w:rPr>
          <w:rFonts w:ascii="Times New Roman PS Std;serif" w:hAnsi="Times New Roman PS Std;serif"/>
          <w:b/>
          <w:i w:val="false"/>
          <w:caps w:val="false"/>
          <w:smallCaps w:val="false"/>
          <w:sz w:val="20"/>
        </w:rPr>
        <w:t xml:space="preserve">TENAX AEROSPACE ACQUISITION, LLC </w:t>
      </w:r>
    </w:p>
    <w:tbl>
      <w:tblPr>
        <w:tblW w:w="6388" w:type="dxa"/>
        <w:jc w:val="left"/>
        <w:tblInd w:w="0" w:type="dxa"/>
        <w:tblLayout w:type="fixed"/>
        <w:tblCellMar>
          <w:top w:w="0" w:type="dxa"/>
          <w:left w:w="0" w:type="dxa"/>
          <w:bottom w:w="0" w:type="dxa"/>
          <w:right w:w="0" w:type="dxa"/>
        </w:tblCellMar>
      </w:tblPr>
      <w:tblGrid>
        <w:gridCol w:w="5521"/>
        <w:gridCol w:w="146"/>
        <w:gridCol w:w="721"/>
      </w:tblGrid>
      <w:tr>
        <w:trPr/>
        <w:tc>
          <w:tcPr>
            <w:tcW w:w="55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5521" w:type="dxa"/>
            <w:tcBorders/>
            <w:shd w:fill="CCEEFF" w:val="clear"/>
            <w:vAlign w:val="bottom"/>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F-52</w:t>
            </w:r>
          </w:p>
        </w:tc>
      </w:tr>
      <w:tr>
        <w:trPr/>
        <w:tc>
          <w:tcPr>
            <w:tcW w:w="5521" w:type="dxa"/>
            <w:tcBorders/>
            <w:vAlign w:val="bottom"/>
          </w:tcPr>
          <w:p>
            <w:pPr>
              <w:pStyle w:val="TableContents"/>
              <w:keepNext w:val="false"/>
              <w:widowControl/>
              <w:pBdr/>
              <w:bidi w:val="0"/>
              <w:spacing w:before="0" w:after="283"/>
              <w:ind w:left="200" w:right="0" w:hanging="200"/>
              <w:jc w:val="left"/>
              <w:rPr/>
            </w:pPr>
            <w:hyperlink w:anchor="T514">
              <w:r>
                <w:rPr>
                  <w:rStyle w:val="InternetLink"/>
                  <w:rFonts w:ascii="Times New Roman PS Std;serif" w:hAnsi="Times New Roman PS Std;serif"/>
                  <w:b w:val="false"/>
                  <w:i w:val="false"/>
                  <w:caps w:val="false"/>
                  <w:smallCaps w:val="false"/>
                  <w:sz w:val="20"/>
                </w:rPr>
                <w:t xml:space="preserve">Unaudited Consolidated Balance Sheets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F-53</w:t>
            </w:r>
          </w:p>
        </w:tc>
      </w:tr>
      <w:tr>
        <w:trPr/>
        <w:tc>
          <w:tcPr>
            <w:tcW w:w="5521" w:type="dxa"/>
            <w:tcBorders/>
            <w:shd w:fill="CCEEFF" w:val="clear"/>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 xml:space="preserve">Unaudited Consolidated Statements of Income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F-54</w:t>
            </w:r>
          </w:p>
        </w:tc>
      </w:tr>
      <w:tr>
        <w:trPr/>
        <w:tc>
          <w:tcPr>
            <w:tcW w:w="5521" w:type="dxa"/>
            <w:tcBorders/>
            <w:vAlign w:val="bottom"/>
          </w:tcPr>
          <w:p>
            <w:pPr>
              <w:pStyle w:val="TableContents"/>
              <w:keepNext w:val="false"/>
              <w:widowControl/>
              <w:pBdr/>
              <w:bidi w:val="0"/>
              <w:spacing w:before="0" w:after="283"/>
              <w:ind w:left="200" w:right="0" w:hanging="200"/>
              <w:jc w:val="left"/>
              <w:rPr/>
            </w:pPr>
            <w:hyperlink w:anchor="T801">
              <w:r>
                <w:rPr>
                  <w:rStyle w:val="InternetLink"/>
                  <w:rFonts w:ascii="Times New Roman PS Std;serif" w:hAnsi="Times New Roman PS Std;serif"/>
                  <w:b w:val="false"/>
                  <w:i w:val="false"/>
                  <w:caps w:val="false"/>
                  <w:smallCaps w:val="false"/>
                  <w:sz w:val="20"/>
                </w:rPr>
                <w:t xml:space="preserve">Unaudited Consolidated Statements of (Deficit)/Equity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F-55</w:t>
            </w:r>
          </w:p>
        </w:tc>
      </w:tr>
      <w:tr>
        <w:trPr/>
        <w:tc>
          <w:tcPr>
            <w:tcW w:w="5521" w:type="dxa"/>
            <w:tcBorders/>
            <w:shd w:fill="CCEEFF" w:val="clear"/>
            <w:vAlign w:val="bottom"/>
          </w:tcPr>
          <w:p>
            <w:pPr>
              <w:pStyle w:val="TableContents"/>
              <w:keepNext w:val="false"/>
              <w:widowControl/>
              <w:pBdr/>
              <w:bidi w:val="0"/>
              <w:spacing w:before="0" w:after="283"/>
              <w:ind w:left="200" w:right="0" w:hanging="200"/>
              <w:jc w:val="left"/>
              <w:rPr/>
            </w:pPr>
            <w:hyperlink w:anchor="T516">
              <w:r>
                <w:rPr>
                  <w:rStyle w:val="InternetLink"/>
                  <w:rFonts w:ascii="Times New Roman PS Std;serif" w:hAnsi="Times New Roman PS Std;serif"/>
                  <w:b w:val="false"/>
                  <w:i w:val="false"/>
                  <w:caps w:val="false"/>
                  <w:smallCaps w:val="false"/>
                  <w:sz w:val="20"/>
                </w:rPr>
                <w:t xml:space="preserve">Unaudited Consolidated Statements of Cash Flows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F-56</w:t>
            </w:r>
          </w:p>
        </w:tc>
      </w:tr>
      <w:tr>
        <w:trPr/>
        <w:tc>
          <w:tcPr>
            <w:tcW w:w="5521" w:type="dxa"/>
            <w:tcBorders/>
            <w:vAlign w:val="bottom"/>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 xml:space="preserve">Notes to Unaudited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F-57</w:t>
            </w:r>
          </w:p>
        </w:tc>
      </w:tr>
    </w:tbl>
    <w:tbl>
      <w:tblPr>
        <w:tblW w:w="5173" w:type="dxa"/>
        <w:jc w:val="left"/>
        <w:tblInd w:w="0" w:type="dxa"/>
        <w:tblLayout w:type="fixed"/>
        <w:tblCellMar>
          <w:top w:w="0" w:type="dxa"/>
          <w:left w:w="0" w:type="dxa"/>
          <w:bottom w:w="0" w:type="dxa"/>
          <w:right w:w="0" w:type="dxa"/>
        </w:tblCellMar>
      </w:tblPr>
      <w:tblGrid>
        <w:gridCol w:w="4456"/>
        <w:gridCol w:w="146"/>
        <w:gridCol w:w="571"/>
      </w:tblGrid>
      <w:tr>
        <w:trPr/>
        <w:tc>
          <w:tcPr>
            <w:tcW w:w="4456" w:type="dxa"/>
            <w:tcBorders/>
            <w:shd w:fill="CCEEFF" w:val="clear"/>
            <w:vAlign w:val="bottom"/>
          </w:tcPr>
          <w:p>
            <w:pPr>
              <w:pStyle w:val="TableContents"/>
              <w:keepNext w:val="false"/>
              <w:widowControl/>
              <w:pBdr/>
              <w:bidi w:val="0"/>
              <w:spacing w:before="0" w:after="283"/>
              <w:ind w:left="200" w:right="0" w:hanging="200"/>
              <w:jc w:val="left"/>
              <w:rPr/>
            </w:pPr>
            <w:hyperlink w:anchor="T518">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Financial Statements:</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r>
      <w:tr>
        <w:trPr/>
        <w:tc>
          <w:tcPr>
            <w:tcW w:w="4456" w:type="dxa"/>
            <w:tcBorders/>
            <w:shd w:fill="CCEEFF" w:val="clear"/>
            <w:vAlign w:val="bottom"/>
          </w:tcPr>
          <w:p>
            <w:pPr>
              <w:pStyle w:val="TableContents"/>
              <w:keepNext w:val="false"/>
              <w:widowControl/>
              <w:pBdr/>
              <w:bidi w:val="0"/>
              <w:spacing w:before="0" w:after="283"/>
              <w:ind w:left="400" w:right="0" w:hanging="200"/>
              <w:jc w:val="left"/>
              <w:rPr/>
            </w:pPr>
            <w:hyperlink w:anchor="T519">
              <w:r>
                <w:rPr>
                  <w:rStyle w:val="InternetLink"/>
                  <w:rFonts w:ascii="Times New Roman PS Std;serif" w:hAnsi="Times New Roman PS Std;serif"/>
                  <w:b w:val="false"/>
                  <w:i w:val="false"/>
                  <w:caps w:val="false"/>
                  <w:smallCaps w:val="false"/>
                  <w:sz w:val="20"/>
                </w:rPr>
                <w:t xml:space="preserve">Consolidated Balance Sheets </w:t>
              </w:r>
            </w:hyperlink>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r>
        <w:trPr/>
        <w:tc>
          <w:tcPr>
            <w:tcW w:w="4456" w:type="dxa"/>
            <w:tcBorders/>
            <w:vAlign w:val="bottom"/>
          </w:tcPr>
          <w:p>
            <w:pPr>
              <w:pStyle w:val="TableContents"/>
              <w:keepNext w:val="false"/>
              <w:widowControl/>
              <w:pBdr/>
              <w:bidi w:val="0"/>
              <w:spacing w:before="0" w:after="283"/>
              <w:ind w:left="400" w:right="0" w:hanging="200"/>
              <w:jc w:val="left"/>
              <w:rPr/>
            </w:pPr>
            <w:hyperlink w:anchor="T520">
              <w:r>
                <w:rPr>
                  <w:rStyle w:val="InternetLink"/>
                  <w:rFonts w:ascii="Times New Roman PS Std;serif" w:hAnsi="Times New Roman PS Std;serif"/>
                  <w:b w:val="false"/>
                  <w:i w:val="false"/>
                  <w:caps w:val="false"/>
                  <w:smallCaps w:val="false"/>
                  <w:sz w:val="20"/>
                </w:rPr>
                <w:t xml:space="preserve">Consolidated Statements of Income </w:t>
              </w:r>
            </w:hyperlink>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F-77</w:t>
            </w:r>
          </w:p>
        </w:tc>
      </w:tr>
      <w:tr>
        <w:trPr/>
        <w:tc>
          <w:tcPr>
            <w:tcW w:w="4456" w:type="dxa"/>
            <w:tcBorders/>
            <w:shd w:fill="CCEEFF" w:val="clear"/>
            <w:vAlign w:val="bottom"/>
          </w:tcPr>
          <w:p>
            <w:pPr>
              <w:pStyle w:val="TableContents"/>
              <w:keepNext w:val="false"/>
              <w:widowControl/>
              <w:pBdr/>
              <w:bidi w:val="0"/>
              <w:spacing w:before="0" w:after="283"/>
              <w:ind w:left="400" w:right="0" w:hanging="200"/>
              <w:jc w:val="left"/>
              <w:rPr/>
            </w:pPr>
            <w:hyperlink w:anchor="T521">
              <w:r>
                <w:rPr>
                  <w:rStyle w:val="InternetLink"/>
                  <w:rFonts w:ascii="Times New Roman PS Std;serif" w:hAnsi="Times New Roman PS Std;serif"/>
                  <w:b w:val="false"/>
                  <w:i w:val="false"/>
                  <w:caps w:val="false"/>
                  <w:smallCaps w:val="false"/>
                  <w:sz w:val="20"/>
                </w:rPr>
                <w:t xml:space="preserve">Consolidated Statements of Equity </w:t>
              </w:r>
            </w:hyperlink>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F-78</w:t>
            </w:r>
          </w:p>
        </w:tc>
      </w:tr>
      <w:tr>
        <w:trPr/>
        <w:tc>
          <w:tcPr>
            <w:tcW w:w="4456" w:type="dxa"/>
            <w:tcBorders/>
            <w:vAlign w:val="bottom"/>
          </w:tcPr>
          <w:p>
            <w:pPr>
              <w:pStyle w:val="TableContents"/>
              <w:keepNext w:val="false"/>
              <w:widowControl/>
              <w:pBdr/>
              <w:bidi w:val="0"/>
              <w:spacing w:before="0" w:after="283"/>
              <w:ind w:left="400" w:right="0" w:hanging="200"/>
              <w:jc w:val="left"/>
              <w:rPr/>
            </w:pPr>
            <w:hyperlink w:anchor="T522">
              <w:r>
                <w:rPr>
                  <w:rStyle w:val="InternetLink"/>
                  <w:rFonts w:ascii="Times New Roman PS Std;serif" w:hAnsi="Times New Roman PS Std;serif"/>
                  <w:b w:val="false"/>
                  <w:i w:val="false"/>
                  <w:caps w:val="false"/>
                  <w:smallCaps w:val="false"/>
                  <w:sz w:val="20"/>
                </w:rPr>
                <w:t xml:space="preserve">Consolidated Statements of Cash Flows </w:t>
              </w:r>
            </w:hyperlink>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F-79</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pPr>
            <w:hyperlink w:anchor="T523">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0" w:name="T6950"/>
      <w:bookmarkEnd w:id="90"/>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Balance Sheets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bidi w:val="0"/>
              <w:spacing w:before="0" w:after="283"/>
              <w:jc w:val="left"/>
              <w:rPr/>
            </w:pPr>
            <w:r>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Credit Losses of $629,000 and $464,000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Right-Of-Use-Assets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 Net, Deposits and 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38,611,000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37,616,000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(see Note 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0"/>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0"/>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 par value $.001 – Authorized 3,000,000 shares, 0 shares outstanding, at both March 31, 2026 and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 Par Value $.001 – Authorized 6,000,000 shares, 4,781,054 and 4,776,454 shares issued and outstanding as of March 31, 2026 and December 31, 2025,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90,572,000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(71,432,000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1" w:name="T6951"/>
      <w:bookmarkEnd w:id="91"/>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Operations</w:t>
        <w:br/>
        <w:t>For the Three Months Ended March 31,</w:t>
        <w:br/>
        <w:t>(Unaudited)</w:t>
      </w:r>
    </w:p>
    <w:tbl>
      <w:tblPr>
        <w:tblW w:w="9674" w:type="dxa"/>
        <w:jc w:val="left"/>
        <w:tblInd w:w="0" w:type="dxa"/>
        <w:tblLayout w:type="fixed"/>
        <w:tblCellMar>
          <w:top w:w="0" w:type="dxa"/>
          <w:left w:w="0" w:type="dxa"/>
          <w:bottom w:w="0" w:type="dxa"/>
          <w:right w:w="0" w:type="dxa"/>
        </w:tblCellMar>
      </w:tblPr>
      <w:tblGrid>
        <w:gridCol w:w="5791"/>
        <w:gridCol w:w="146"/>
        <w:gridCol w:w="286"/>
        <w:gridCol w:w="1246"/>
        <w:gridCol w:w="241"/>
        <w:gridCol w:w="146"/>
        <w:gridCol w:w="286"/>
        <w:gridCol w:w="1246"/>
        <w:gridCol w:w="286"/>
      </w:tblGrid>
      <w:tr>
        <w:trPr/>
        <w:tc>
          <w:tcPr>
            <w:tcW w:w="5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3,639,337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2" w:name="T6952"/>
      <w:bookmarkEnd w:id="92"/>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Changes in Stockholders’ Equity</w:t>
        <w:br/>
        <w:t>For the Three Months Ended March 31, 2026 and 2025</w:t>
        <w:br/>
        <w:t>(Unaudited)</w:t>
      </w:r>
    </w:p>
    <w:tbl>
      <w:tblPr>
        <w:tblW w:w="10205" w:type="dxa"/>
        <w:jc w:val="left"/>
        <w:tblInd w:w="0" w:type="dxa"/>
        <w:tblLayout w:type="fixed"/>
        <w:tblCellMar>
          <w:top w:w="0" w:type="dxa"/>
          <w:left w:w="0" w:type="dxa"/>
          <w:bottom w:w="0" w:type="dxa"/>
          <w:right w:w="0" w:type="dxa"/>
        </w:tblCellMar>
      </w:tblPr>
      <w:tblGrid>
        <w:gridCol w:w="2159"/>
        <w:gridCol w:w="146"/>
        <w:gridCol w:w="1126"/>
        <w:gridCol w:w="146"/>
        <w:gridCol w:w="286"/>
        <w:gridCol w:w="706"/>
        <w:gridCol w:w="146"/>
        <w:gridCol w:w="286"/>
        <w:gridCol w:w="1246"/>
        <w:gridCol w:w="146"/>
        <w:gridCol w:w="286"/>
        <w:gridCol w:w="1321"/>
        <w:gridCol w:w="241"/>
        <w:gridCol w:w="146"/>
        <w:gridCol w:w="286"/>
        <w:gridCol w:w="1246"/>
        <w:gridCol w:w="286"/>
      </w:tblGrid>
      <w:tr>
        <w:trPr/>
        <w:tc>
          <w:tcPr>
            <w:tcW w:w="215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bottom"/>
          </w:tcPr>
          <w:p>
            <w:pPr>
              <w:pStyle w:val="TableContents"/>
              <w:bidi w:val="0"/>
              <w:spacing w:before="0" w:after="283"/>
              <w:jc w:val="left"/>
              <w:rPr/>
            </w:pPr>
            <w:r>
              <w:rPr/>
              <w:t> </w:t>
            </w:r>
          </w:p>
        </w:tc>
        <w:tc>
          <w:tcPr>
            <w:tcW w:w="153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Paid-in</w:t>
              <w:br/>
              <w:t>Capital</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81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Stockholders’</w:t>
              <w:br/>
              <w:t>Equity</w:t>
            </w:r>
          </w:p>
        </w:tc>
      </w:tr>
      <w:tr>
        <w:trPr/>
        <w:tc>
          <w:tcPr>
            <w:tcW w:w="21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3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8" w:type="dxa"/>
            <w:gridSpan w:val="3"/>
            <w:vMerge w:val="continue"/>
            <w:tcBorders/>
            <w:vAlign w:val="bottom"/>
          </w:tcPr>
          <w:p>
            <w:pPr>
              <w:pStyle w:val="Normal"/>
              <w:bidi w:val="0"/>
              <w:jc w:val="left"/>
              <w:rPr/>
            </w:pPr>
            <w:r>
              <w:rPr/>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4,776,454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2026</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4,781,054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90,572,000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(71,432,000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3,474,970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209,940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3,694,095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85,380,000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(70,095,000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3" w:name="T6953"/>
      <w:bookmarkEnd w:id="93"/>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Cash Flows</w:t>
        <w:br/>
        <w:t>For the Three Months Ended March 31,</w:t>
        <w:br/>
        <w:t>(Unaudited)</w:t>
      </w:r>
    </w:p>
    <w:tbl>
      <w:tblPr>
        <w:tblW w:w="10205" w:type="dxa"/>
        <w:jc w:val="left"/>
        <w:tblInd w:w="0" w:type="dxa"/>
        <w:tblLayout w:type="fixed"/>
        <w:tblCellMar>
          <w:top w:w="0" w:type="dxa"/>
          <w:left w:w="0" w:type="dxa"/>
          <w:bottom w:w="0" w:type="dxa"/>
          <w:right w:w="0" w:type="dxa"/>
        </w:tblCellMar>
      </w:tblPr>
      <w:tblGrid>
        <w:gridCol w:w="6412"/>
        <w:gridCol w:w="146"/>
        <w:gridCol w:w="286"/>
        <w:gridCol w:w="1201"/>
        <w:gridCol w:w="241"/>
        <w:gridCol w:w="146"/>
        <w:gridCol w:w="286"/>
        <w:gridCol w:w="1201"/>
        <w:gridCol w:w="286"/>
      </w:tblGrid>
      <w:tr>
        <w:trPr/>
        <w:tc>
          <w:tcPr>
            <w:tcW w:w="64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and 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(1,298,000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 revolver – net – Current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(1,701,000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Current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Common Stock issued for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Subordinated Notes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term loan – Current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Solar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finance lease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loan payable – financed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interest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taxes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4" w:name="T6954"/>
      <w:bookmarkEnd w:id="94"/>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ORGANIZATION AND BASIS OF PRESENTATION</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 is a Nevada corporation (“AIRI”). The accompanying condensed consolidated financial statements presented are those of AIRI, and its wholly-owned subsidiaries: Air Industries Machining Corp. (“AIM”), Nassau Tool Works, Inc. (“NTW”), and the Sterling Engineering Corporation (“Sterling”) (together,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the year ending December 31, 2026. These unaudited condensed consolidated financial statements should be read in conjunction with the audited consolidated financial statements and notes thereto included in the Company’s Annual Report on Form 10-K for the year ended December 31, 2025, as filed with the Securities and Exchange Commission on March 27, 2026, from which the accompanying condensed consolidated balance sheet dated December 31, 2025 was derived.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 and Management’s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Company was in default of its minimum Fixed Charge Coverage Ratio (“FCCR”), of 1.10x as of the last day of the Fiscal Quarter, having only attained a ratio of 0.93x. All other financial and business covenants required under the terms of the Current Credit Facility were met. The Company’s debt under our Current Credit Facility and Related Party Subordinated Notes approximates $29,747,000. The Current Credit Facility is scheduled to expire on September 30, 2026, and the Related Party Subordinated Notes mature on October 1, 2026. These obligations are classified as current liabilities on the consolidated balance sheets as of March 31, 2026. As a result of the default, the expiration dates of our Current Credit Facility and the rights that our Current Credit Facility lender could exercise, there is substantial doubt about the Company’s ability to continue as a going concern for the twelve months following the date of filing of these condensed consolidated financial statements. The terms of all outstanding indebtedness are discussed further in “Note 5.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maintain a collection account with its lender into which substantially all cash receipts are remitted. Additionally, as the Company is in default of its Current Credit Facility, the lender could choose to exercise its rights, for example, increasing the rate of interest or refusing to make loans under the revolving portion of the Current Credit Facility and keep the funds remitted to the collection account. If the lender were to raise the rate of interest or exercise other remedies available under the Current Credit Facility, it would adversely impact the Company’s operating results. If the lender were to cease making new loans under the revolving facility or limit availability under the revolving facility, the Company would lack the funds to continue operations or, possibly, expand its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alternative financing 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the entry into the Merger Agreement with Tenax (each as defined in “Note 11. Merger Information”), the Company has temporarily paused all equity raising activity. See “Note 11. Merger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ORGANIZATION AND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Company had total unfilled contract values amounting to $269.2 million (including its $134.7 million in funded backlog plus additional potential funded orders against Long-Term Agreements (“LTAs”). These unfilled contract values support a positive outlook for future growth; however extended lead times for raw material procurement and the complexity of manufacturing processes are expected to delay revenue acceleration until late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carried at the original invoice amount less an estimate made for expected credit losses based on a review of all outstanding amounts on a quarterly basis. Management determines the allowance for expected credit losses primarily using historical experience as well as current conditions that affect the collectability of the reported amount. Accounts receivable are written off when deemed uncollectible. Bad debt expenses are recorded in operating expenses on the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for the allowance for credit losses during the three months ended March 31, 2026 and 2025 is set forth in the table below:</w:t>
      </w:r>
    </w:p>
    <w:tbl>
      <w:tblPr>
        <w:tblW w:w="10205" w:type="dxa"/>
        <w:jc w:val="left"/>
        <w:tblInd w:w="0" w:type="dxa"/>
        <w:tblLayout w:type="fixed"/>
        <w:tblCellMar>
          <w:top w:w="0" w:type="dxa"/>
          <w:left w:w="0" w:type="dxa"/>
          <w:bottom w:w="0" w:type="dxa"/>
          <w:right w:w="0" w:type="dxa"/>
        </w:tblCellMar>
      </w:tblPr>
      <w:tblGrid>
        <w:gridCol w:w="4240"/>
        <w:gridCol w:w="146"/>
        <w:gridCol w:w="326"/>
        <w:gridCol w:w="1078"/>
        <w:gridCol w:w="146"/>
        <w:gridCol w:w="304"/>
        <w:gridCol w:w="1005"/>
        <w:gridCol w:w="146"/>
        <w:gridCol w:w="612"/>
        <w:gridCol w:w="742"/>
        <w:gridCol w:w="146"/>
        <w:gridCol w:w="293"/>
        <w:gridCol w:w="1021"/>
      </w:tblGrid>
      <w:tr>
        <w:trPr/>
        <w:tc>
          <w:tcPr>
            <w:tcW w:w="424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 xml:space="preserve">Beginning of </w:t>
              <w:br/>
              <w:t>Period</w:t>
            </w:r>
          </w:p>
        </w:tc>
        <w:tc>
          <w:tcPr>
            <w:tcW w:w="146"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Charged to </w:t>
              <w:br/>
              <w:t>Expenses</w:t>
            </w:r>
          </w:p>
        </w:tc>
        <w:tc>
          <w:tcPr>
            <w:tcW w:w="146"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Deductions </w:t>
              <w:br/>
              <w:t xml:space="preserve">from the </w:t>
              <w:br/>
              <w:t>Allowance</w:t>
            </w:r>
          </w:p>
        </w:tc>
        <w:tc>
          <w:tcPr>
            <w:tcW w:w="146"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 xml:space="preserve">End of </w:t>
              <w:br/>
              <w:t>Period</w:t>
            </w:r>
          </w:p>
        </w:tc>
      </w:tr>
      <w:tr>
        <w:trPr/>
        <w:tc>
          <w:tcPr>
            <w:tcW w:w="42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Three Months ended March 31, 2026 Allowance for Credit Losses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165,000</w:t>
            </w:r>
          </w:p>
        </w:tc>
        <w:tc>
          <w:tcPr>
            <w:tcW w:w="146"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629,000</w:t>
            </w:r>
          </w:p>
        </w:tc>
      </w:tr>
      <w:tr>
        <w:trPr/>
        <w:tc>
          <w:tcPr>
            <w:tcW w:w="42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Three Months ended March 31, 2025 Allowance for Credit Losses</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146" w:type="dxa"/>
            <w:tcBorders/>
            <w:vAlign w:val="bottom"/>
          </w:tcPr>
          <w:p>
            <w:pPr>
              <w:pStyle w:val="TableContents"/>
              <w:bidi w:val="0"/>
              <w:spacing w:before="0" w:after="283"/>
              <w:jc w:val="left"/>
              <w:rPr/>
            </w:pPr>
            <w:r>
              <w:rPr/>
              <w:t> </w:t>
            </w:r>
          </w:p>
        </w:tc>
        <w:tc>
          <w:tcPr>
            <w:tcW w:w="6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values inventory at the lower of cost or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net realizable value are recorded in cost of sales.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 of the following at:</w:t>
      </w:r>
    </w:p>
    <w:tbl>
      <w:tblPr>
        <w:tblW w:w="5621" w:type="dxa"/>
        <w:jc w:val="left"/>
        <w:tblInd w:w="0" w:type="dxa"/>
        <w:tblLayout w:type="fixed"/>
        <w:tblCellMar>
          <w:top w:w="0" w:type="dxa"/>
          <w:left w:w="0" w:type="dxa"/>
          <w:bottom w:w="0" w:type="dxa"/>
          <w:right w:w="0" w:type="dxa"/>
        </w:tblCellMar>
      </w:tblPr>
      <w:tblGrid>
        <w:gridCol w:w="2176"/>
        <w:gridCol w:w="146"/>
        <w:gridCol w:w="286"/>
        <w:gridCol w:w="1246"/>
        <w:gridCol w:w="146"/>
        <w:gridCol w:w="293"/>
        <w:gridCol w:w="1328"/>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6,372,000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7,306,000</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18,663,000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17,072,000</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Semi-Finished Goods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9,428,000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9,206,000</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Final-Finished Goods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819,000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677,000</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35,282,000</w:t>
            </w:r>
          </w:p>
        </w:tc>
        <w:tc>
          <w:tcPr>
            <w:tcW w:w="146" w:type="dxa"/>
            <w:tcBorders/>
            <w:shd w:fill="CCEEFF" w:val="clear"/>
            <w:vAlign w:val="bottom"/>
          </w:tcPr>
          <w:p>
            <w:pPr>
              <w:pStyle w:val="TableContents"/>
              <w:bidi w:val="0"/>
              <w:spacing w:before="0" w:after="283"/>
              <w:jc w:val="left"/>
              <w:rPr/>
            </w:pPr>
            <w:r>
              <w:rPr/>
              <w:t> </w:t>
            </w:r>
          </w:p>
        </w:tc>
        <w:tc>
          <w:tcPr>
            <w:tcW w:w="2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and Concentration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large percentage of the Company’s revenues are derived directly from large aerospace and defense prime contractors for which the ultimate end-user is the U.S. Government, other governments, or commercial airlines.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net sales for the three months ended March 31,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5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 10% of accounts receivable at March 31, 2026 and December 31, 2025 are shown below:</w:t>
      </w:r>
    </w:p>
    <w:tbl>
      <w:tblPr>
        <w:tblW w:w="5231" w:type="dxa"/>
        <w:jc w:val="left"/>
        <w:tblInd w:w="0" w:type="dxa"/>
        <w:tblLayout w:type="fixed"/>
        <w:tblCellMar>
          <w:top w:w="0" w:type="dxa"/>
          <w:left w:w="0" w:type="dxa"/>
          <w:bottom w:w="0" w:type="dxa"/>
          <w:right w:w="0" w:type="dxa"/>
        </w:tblCellMar>
      </w:tblPr>
      <w:tblGrid>
        <w:gridCol w:w="1726"/>
        <w:gridCol w:w="146"/>
        <w:gridCol w:w="945"/>
        <w:gridCol w:w="558"/>
        <w:gridCol w:w="235"/>
        <w:gridCol w:w="972"/>
        <w:gridCol w:w="649"/>
      </w:tblGrid>
      <w:tr>
        <w:trPr/>
        <w:tc>
          <w:tcPr>
            <w:tcW w:w="172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bottom"/>
          </w:tcPr>
          <w:p>
            <w:pPr>
              <w:pStyle w:val="TableContents"/>
              <w:bidi w:val="0"/>
              <w:spacing w:before="0" w:after="283"/>
              <w:jc w:val="left"/>
              <w:rPr/>
            </w:pPr>
            <w:r>
              <w:rPr/>
              <w:t> </w:t>
            </w:r>
          </w:p>
        </w:tc>
        <w:tc>
          <w:tcPr>
            <w:tcW w:w="335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Receivables</w:t>
            </w:r>
          </w:p>
        </w:tc>
      </w:tr>
      <w:tr>
        <w:trPr/>
        <w:tc>
          <w:tcPr>
            <w:tcW w:w="17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0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235"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c>
          <w:tcPr>
            <w:tcW w:w="6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bottom"/>
          </w:tcPr>
          <w:p>
            <w:pPr>
              <w:pStyle w:val="TableContents"/>
              <w:bidi w:val="0"/>
              <w:spacing w:before="0" w:after="283"/>
              <w:jc w:val="left"/>
              <w:rPr/>
            </w:pPr>
            <w:r>
              <w:rPr/>
              <w:t> </w:t>
            </w:r>
          </w:p>
        </w:tc>
        <w:tc>
          <w:tcPr>
            <w:tcW w:w="9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6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Disaggregation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revenue from contracts with customers for the three month periods ended March 31, 2026 and 2025:</w:t>
      </w:r>
    </w:p>
    <w:tbl>
      <w:tblPr>
        <w:tblW w:w="4707" w:type="dxa"/>
        <w:jc w:val="left"/>
        <w:tblInd w:w="0" w:type="dxa"/>
        <w:tblLayout w:type="fixed"/>
        <w:tblCellMar>
          <w:top w:w="0" w:type="dxa"/>
          <w:left w:w="0" w:type="dxa"/>
          <w:bottom w:w="0" w:type="dxa"/>
          <w:right w:w="0" w:type="dxa"/>
        </w:tblCellMar>
      </w:tblPr>
      <w:tblGrid>
        <w:gridCol w:w="1306"/>
        <w:gridCol w:w="146"/>
        <w:gridCol w:w="286"/>
        <w:gridCol w:w="1246"/>
        <w:gridCol w:w="146"/>
        <w:gridCol w:w="286"/>
        <w:gridCol w:w="1291"/>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2025</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Military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8,340,000</w:t>
            </w:r>
          </w:p>
        </w:tc>
      </w:tr>
      <w:tr>
        <w:trPr/>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3,795,000</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12,135,000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Restricted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ended March 31, 2026, the Company had occasionally maintained balances in its bank accounts that were in excess of the FDIC limit. The Company has not experienced any losses on these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the Company reported restricted cash of $3,930,000 on its condensed consolidated balance sheets. Restricted cash represents proceeds from the Company’s ATM offering that are pledged as security for its obligations under the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cash and restricted cash reported in the condensed consolidated balance sheets to the total amount shown in the condensed consolidated statements of cash flows:</w:t>
      </w:r>
    </w:p>
    <w:tbl>
      <w:tblPr>
        <w:tblW w:w="4976" w:type="dxa"/>
        <w:jc w:val="left"/>
        <w:tblInd w:w="0" w:type="dxa"/>
        <w:tblLayout w:type="fixed"/>
        <w:tblCellMar>
          <w:top w:w="0" w:type="dxa"/>
          <w:left w:w="0" w:type="dxa"/>
          <w:bottom w:w="0" w:type="dxa"/>
          <w:right w:w="0" w:type="dxa"/>
        </w:tblCellMar>
      </w:tblPr>
      <w:tblGrid>
        <w:gridCol w:w="1651"/>
        <w:gridCol w:w="146"/>
        <w:gridCol w:w="286"/>
        <w:gridCol w:w="1126"/>
        <w:gridCol w:w="146"/>
        <w:gridCol w:w="318"/>
        <w:gridCol w:w="1303"/>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286,000</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4,216,000</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or unwilling to provide parts for any reason, the Company’s business would be severely harmed.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March 31, 2026 and December 31, 2025, customer deposits were $968,000 and $391,000, respectively. The Company recognized revenue of $100,000 during the three months ended March 31, 2026 that was included in customer deposits balance as of December 31, 2025. The Company recognized revenue of $531,000 during the three months ended March 31, 2025, that was included in the customer deposits balance as of December 31,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Backlog represents the value of orders received pursuant to our Long-Term Agreements (“LTA”) or spot orders pursuant to a purchase order. As of March 31, 2026, backlog relating to remaining performance obligations on contracts was approximately $134.7 million. The Company estimates that a substantial portion of this backlog will be recognized as net sales during the next twenty-four months, with the rest thereafter. This expectation assumes that raw material supplies and outsourced processing is completed and delivered on time and that the Company’s customers will accept delivery as scheduled. The Company anticipates that sales during the aforementioned periods will also include sales from expected new orders that are not included in our backlog.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earnings (loss) per share (“EPS”) is computed by dividing the net income (loss) applicable to common stockholders by the weighted-average number of shares of common stock outstanding for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securities have been excluded from the calculation because the effect of including these potential shares was anti-dilutive due to the net loss incurred during that period:</w:t>
      </w:r>
    </w:p>
    <w:tbl>
      <w:tblPr>
        <w:tblW w:w="5365" w:type="dxa"/>
        <w:jc w:val="left"/>
        <w:tblInd w:w="0" w:type="dxa"/>
        <w:tblLayout w:type="fixed"/>
        <w:tblCellMar>
          <w:top w:w="0" w:type="dxa"/>
          <w:left w:w="0" w:type="dxa"/>
          <w:bottom w:w="0" w:type="dxa"/>
          <w:right w:w="0" w:type="dxa"/>
        </w:tblCellMar>
      </w:tblPr>
      <w:tblGrid>
        <w:gridCol w:w="2686"/>
        <w:gridCol w:w="146"/>
        <w:gridCol w:w="1171"/>
        <w:gridCol w:w="146"/>
        <w:gridCol w:w="1216"/>
      </w:tblGrid>
      <w:tr>
        <w:trPr/>
        <w:tc>
          <w:tcPr>
            <w:tcW w:w="268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5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r>
      <w:tr>
        <w:trPr/>
        <w:tc>
          <w:tcPr>
            <w:tcW w:w="26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2025</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374,503</w:t>
            </w:r>
          </w:p>
        </w:tc>
      </w:tr>
      <w:tr>
        <w:trPr/>
        <w:tc>
          <w:tcPr>
            <w:tcW w:w="2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285,628</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945,571</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1,021,831</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Stock-based compensation expense for employees amounted to $535,000 and $435,000 for the three months ended March 31, 2026 and 2025, respectively. Stock-based compensation expense for directors amounted to $429,000 and $39,000 for the three months ended March 31, 2026 and 2025, respectively. Stock compensation expenses for employees and directors were included in operating expenses in the accompanying condensed consolidated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“Disaggregation of Income Statement Expenses”, which requires public business entities to disclose additional information about specific expenses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other recently issued, but not yet effective, accounting standards if currently adopted would have a material effect on the accompanying condensed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property and equipment at March 31, 2026 and December 31, 2025 consisted of the following:</w:t>
      </w:r>
    </w:p>
    <w:tbl>
      <w:tblPr>
        <w:tblW w:w="8891" w:type="dxa"/>
        <w:jc w:val="left"/>
        <w:tblInd w:w="0" w:type="dxa"/>
        <w:tblLayout w:type="fixed"/>
        <w:tblCellMar>
          <w:top w:w="0" w:type="dxa"/>
          <w:left w:w="0" w:type="dxa"/>
          <w:bottom w:w="0" w:type="dxa"/>
          <w:right w:w="0" w:type="dxa"/>
        </w:tblCellMar>
      </w:tblPr>
      <w:tblGrid>
        <w:gridCol w:w="3256"/>
        <w:gridCol w:w="146"/>
        <w:gridCol w:w="286"/>
        <w:gridCol w:w="1321"/>
        <w:gridCol w:w="241"/>
        <w:gridCol w:w="146"/>
        <w:gridCol w:w="286"/>
        <w:gridCol w:w="1321"/>
        <w:gridCol w:w="241"/>
        <w:gridCol w:w="146"/>
        <w:gridCol w:w="150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Buildings and Improvements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Instruments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 7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Automotive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of lease</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 and Software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6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49,128,000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(39,913,000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(39,201,000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PROPERTY AND EQUIPMENT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for the three months ended March 31, 2026 and 2025 was approximately $711,000 and $580,000,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OPERATING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operating leases for leased office and manufacturing facilities. The leases have remaining lease terms of one to five years, some of which include options to extend or terminate the leases.</w:t>
      </w:r>
    </w:p>
    <w:tbl>
      <w:tblPr>
        <w:tblW w:w="9492" w:type="dxa"/>
        <w:jc w:val="left"/>
        <w:tblInd w:w="0" w:type="dxa"/>
        <w:tblLayout w:type="fixed"/>
        <w:tblCellMar>
          <w:top w:w="0" w:type="dxa"/>
          <w:left w:w="0" w:type="dxa"/>
          <w:bottom w:w="0" w:type="dxa"/>
          <w:right w:w="0" w:type="dxa"/>
        </w:tblCellMar>
      </w:tblPr>
      <w:tblGrid>
        <w:gridCol w:w="6691"/>
        <w:gridCol w:w="146"/>
        <w:gridCol w:w="286"/>
        <w:gridCol w:w="946"/>
        <w:gridCol w:w="146"/>
        <w:gridCol w:w="286"/>
        <w:gridCol w:w="991"/>
      </w:tblGrid>
      <w:tr>
        <w:trPr/>
        <w:tc>
          <w:tcPr>
            <w:tcW w:w="66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r>
      <w:tr>
        <w:trPr/>
        <w:tc>
          <w:tcPr>
            <w:tcW w:w="6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2025</w:t>
            </w:r>
          </w:p>
        </w:tc>
      </w:tr>
      <w:tr>
        <w:trPr/>
        <w:tc>
          <w:tcPr>
            <w:tcW w:w="6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278,000</w:t>
            </w:r>
          </w:p>
        </w:tc>
      </w:tr>
      <w:tr>
        <w:trPr/>
        <w:tc>
          <w:tcPr>
            <w:tcW w:w="6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278,000</w:t>
            </w:r>
          </w:p>
        </w:tc>
      </w:tr>
      <w:tr>
        <w:trPr/>
        <w:tc>
          <w:tcPr>
            <w:tcW w:w="6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6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r>
      <w:tr>
        <w:trPr/>
        <w:tc>
          <w:tcPr>
            <w:tcW w:w="6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273,000</w:t>
            </w:r>
          </w:p>
        </w:tc>
      </w:tr>
      <w:tr>
        <w:trPr/>
        <w:tc>
          <w:tcPr>
            <w:tcW w:w="66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 from operating leases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273,000</w:t>
            </w:r>
          </w:p>
        </w:tc>
      </w:tr>
    </w:tbl>
    <w:tbl>
      <w:tblPr>
        <w:tblW w:w="8320" w:type="dxa"/>
        <w:jc w:val="left"/>
        <w:tblInd w:w="0" w:type="dxa"/>
        <w:tblLayout w:type="fixed"/>
        <w:tblCellMar>
          <w:top w:w="0" w:type="dxa"/>
          <w:left w:w="0" w:type="dxa"/>
          <w:bottom w:w="0" w:type="dxa"/>
          <w:right w:w="0" w:type="dxa"/>
        </w:tblCellMar>
      </w:tblPr>
      <w:tblGrid>
        <w:gridCol w:w="5236"/>
        <w:gridCol w:w="146"/>
        <w:gridCol w:w="736"/>
        <w:gridCol w:w="435"/>
        <w:gridCol w:w="146"/>
        <w:gridCol w:w="972"/>
        <w:gridCol w:w="649"/>
      </w:tblGrid>
      <w:tr>
        <w:trPr/>
        <w:tc>
          <w:tcPr>
            <w:tcW w:w="5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0.50</w:t>
            </w:r>
          </w:p>
        </w:tc>
        <w:tc>
          <w:tcPr>
            <w:tcW w:w="4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0.75</w:t>
            </w:r>
          </w:p>
        </w:tc>
        <w:tc>
          <w:tcPr>
            <w:tcW w:w="6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4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6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undiscounted cash flows of operating lease payments as of March 31, 2026, with remaining terms greater than one year are as follows:</w:t>
      </w:r>
    </w:p>
    <w:tbl>
      <w:tblPr>
        <w:tblW w:w="7005" w:type="dxa"/>
        <w:jc w:val="left"/>
        <w:tblInd w:w="0" w:type="dxa"/>
        <w:tblLayout w:type="fixed"/>
        <w:tblCellMar>
          <w:top w:w="0" w:type="dxa"/>
          <w:left w:w="0" w:type="dxa"/>
          <w:bottom w:w="0" w:type="dxa"/>
          <w:right w:w="0" w:type="dxa"/>
        </w:tblCellMar>
      </w:tblPr>
      <w:tblGrid>
        <w:gridCol w:w="5266"/>
        <w:gridCol w:w="146"/>
        <w:gridCol w:w="286"/>
        <w:gridCol w:w="1021"/>
        <w:gridCol w:w="286"/>
      </w:tblGrid>
      <w:tr>
        <w:trPr/>
        <w:tc>
          <w:tcPr>
            <w:tcW w:w="52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maturities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 term portion of operating lease maturities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outstanding as of March 31, 2026 is $26,562,000 and was $25,233,000 at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Indebtedness to third parties consists of the following:</w:t>
      </w:r>
    </w:p>
    <w:tbl>
      <w:tblPr>
        <w:tblW w:w="7544" w:type="dxa"/>
        <w:jc w:val="left"/>
        <w:tblInd w:w="0" w:type="dxa"/>
        <w:tblLayout w:type="fixed"/>
        <w:tblCellMar>
          <w:top w:w="0" w:type="dxa"/>
          <w:left w:w="0" w:type="dxa"/>
          <w:bottom w:w="0" w:type="dxa"/>
          <w:right w:w="0" w:type="dxa"/>
        </w:tblCellMar>
      </w:tblPr>
      <w:tblGrid>
        <w:gridCol w:w="3511"/>
        <w:gridCol w:w="146"/>
        <w:gridCol w:w="286"/>
        <w:gridCol w:w="1321"/>
        <w:gridCol w:w="241"/>
        <w:gridCol w:w="146"/>
        <w:gridCol w:w="286"/>
        <w:gridCol w:w="1321"/>
        <w:gridCol w:w="286"/>
      </w:tblGrid>
      <w:tr>
        <w:trPr/>
        <w:tc>
          <w:tcPr>
            <w:tcW w:w="35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Credit Facility – Revolver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Credit Facility – Term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Solar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credit facility (“Current Credit Facility”) with Webster Bank that expires on September 30, 2026. This facility, which was entered into on December 31, 2019, was amended several times and now provides for a $20,000,000 revolving loan (“Revolving Line of Credit”), a $5,700,000 term loan and a $1,640,000 term loan (“Term Loans”). The loan is secured by a lien on substantially all of the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there is $19,283,000 outstanding under the Revolving Line of Credit and $5,593,000 under the Term Loans.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the Company was in default of its minimum Fixed Charge Coverage Ratio (“FCCR”) of 1.10x as of March 31, 2026, and the Current Credit Facility expires on September 30, 2026. Therefore, the entire Term Loan and all amounts due under the Revolving Line of Credit are classified as short term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 shows the timing of payments due under the Term Loan:</w:t>
      </w:r>
    </w:p>
    <w:tbl>
      <w:tblPr>
        <w:tblW w:w="6495" w:type="dxa"/>
        <w:jc w:val="left"/>
        <w:tblInd w:w="0" w:type="dxa"/>
        <w:tblLayout w:type="fixed"/>
        <w:tblCellMar>
          <w:top w:w="0" w:type="dxa"/>
          <w:left w:w="0" w:type="dxa"/>
          <w:bottom w:w="0" w:type="dxa"/>
          <w:right w:w="0" w:type="dxa"/>
        </w:tblCellMar>
      </w:tblPr>
      <w:tblGrid>
        <w:gridCol w:w="4576"/>
        <w:gridCol w:w="146"/>
        <w:gridCol w:w="286"/>
        <w:gridCol w:w="1201"/>
        <w:gridCol w:w="286"/>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Term Loan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portion of Term Loan payable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related to the Current Credit Facility amounted to approximately $379,000 and $315,000 for the three months ended March 31, 2026 and 2025, respectively. Interest expense includes the amortization of deferred finance costs of $0 and $17,000 for the three months ending March 31, 2026 and 2025,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various terms of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is required to meet a Fixed Charge Coverage Ratio (as defined) that is determined at the end of each fiscal quarter of 1.10x. As of March 31,2026, the Company was in default with this ratio having attained a ratio of only 0.93. At December 31, 2025, the Company was in full compliance with its covenants.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limits the amount of capital expenditures and dividends the Company can pay to its stockholders. As of March 31, 2026, the Company was in compliance with this Covenant.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the Company’s assets are pledged as collateral.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The average interest rate charged was 6.10% and 6.85% for the three months ended March 31, 2026 and 2025,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certain amendments to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January 30, 2025, we entered into an Eighth Amendment to provide for an additional Term Loan in the amount of $1,640,000 for the acquisition of additional equipment. The monthly principal installments on this additional Term Loan are $19,524. This amendment further revised our Financial Covenants. For the rolling twelve-month period ending March 31, 2025 and June 30, 2025, we are required to achieve a Fixed Charge Coverage Ratio of 1.05x. Beginning with the rolling twelve-month period ending September 30, 2025 and going forward the Company is required to achieve a Fixed Charge Coverage Ratio of 1.25x. Additionally, the Company is allowed to pay off up to $4,800,000 of related party notes with funds raised in the Company’s At The Market debt offering. All other covenants remain unchanged. In connection with these changes, the Company paid an amendment fee of $20,000.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10, 2025, the Company entered into a Ninth Amendment where it agreed that $3,930,000 of the proceeds from its ATM Offering would be maintained in an interest bearing account. The funds in this account serve as additional security for its obligations under the Current Credit Facility. Additionally, this amendment waived the default as June 30, 2025.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February 26, 2026, the Company entered into an Eleventh Amendment to which extended the maturity date of the revolving credit and term loans to September 30, 2026. The company paid an amendment fee of $25,000 and agreed to pay an additional fee of $150,000 on the maturity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Company is in default under the Current Credit Facility, the lender could exercise additional rights and remedies, such as increasing the rate of interest on outstanding amounts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we agreed to put $3,930,000 of ATM proceeds in an interest bearing account to serve as additional security for the Company’s obligations under the Current Credit Facility. 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with alternative financing 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Company has borrowing capacity of approximately $717,000 under the Revolving Loan.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Solar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2023, the Company entered into a financing agreement (“Solar Credit Facility”) with CT Green Bank, a quasi-public agency of the State of Connecticut, for the installation of solar energy systems including replacing the existing roof (“Project”) at its Sterling facility. Advances were made by CT Green Bank upon its approval of costs incurred on the Project up to $934,000. As of October 1, 2024, cumulative advances totaling $934,000 had been made including the payment of CT Green Bank’s closing costs of $25,000. Total interest accrued on the advances at the rate of 5% was $36,000.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are due commencing on July 1, 2025. The first semi-annual payment was for interest only. The second payment due January 1, 2026 and all subsequent semi-annual payments include both principal and interest. As of March 31, 2026, the amount classified as short term is $29,000 and the amount classified as long term is $928,000.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related to the Solar Credit Facility amounted to approximately $14,000 and $14,000 for the three months ended March 31, 2026 and 2025,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Lease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finance leases for the purchase of additional manufacturing equipment. The obligations for the finance leases totaled $726,000 and $784,000 as of March 31, 2026 and December 31, 2025, respectively. The leases have an average imputed interest rate of 7.43% per annum and are payable monthly with the final payments due between September of 2026 and May of 2030.</w:t>
      </w:r>
    </w:p>
    <w:tbl>
      <w:tblPr>
        <w:tblW w:w="9535" w:type="dxa"/>
        <w:jc w:val="left"/>
        <w:tblInd w:w="0" w:type="dxa"/>
        <w:tblLayout w:type="fixed"/>
        <w:tblCellMar>
          <w:top w:w="0" w:type="dxa"/>
          <w:left w:w="0" w:type="dxa"/>
          <w:bottom w:w="0" w:type="dxa"/>
          <w:right w:w="0" w:type="dxa"/>
        </w:tblCellMar>
      </w:tblPr>
      <w:tblGrid>
        <w:gridCol w:w="6856"/>
        <w:gridCol w:w="146"/>
        <w:gridCol w:w="301"/>
        <w:gridCol w:w="870"/>
        <w:gridCol w:w="146"/>
        <w:gridCol w:w="300"/>
        <w:gridCol w:w="916"/>
      </w:tblGrid>
      <w:tr>
        <w:trPr/>
        <w:tc>
          <w:tcPr>
            <w:tcW w:w="685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53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r>
      <w:tr>
        <w:trPr/>
        <w:tc>
          <w:tcPr>
            <w:tcW w:w="68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2025</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ROU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r>
      <w:tr>
        <w:trPr/>
        <w:tc>
          <w:tcPr>
            <w:tcW w:w="6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r>
      <w:tr>
        <w:trPr/>
        <w:tc>
          <w:tcPr>
            <w:tcW w:w="6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w:t>
            </w:r>
          </w:p>
        </w:tc>
        <w:tc>
          <w:tcPr>
            <w:tcW w:w="146" w:type="dxa"/>
            <w:tcBorders/>
            <w:vAlign w:val="bottom"/>
          </w:tcPr>
          <w:p>
            <w:pPr>
              <w:pStyle w:val="TableContents"/>
              <w:bidi w:val="0"/>
              <w:spacing w:before="0" w:after="283"/>
              <w:jc w:val="left"/>
              <w:rPr/>
            </w:pPr>
            <w:r>
              <w:rPr/>
              <w:t> </w:t>
            </w:r>
          </w:p>
        </w:tc>
        <w:tc>
          <w:tcPr>
            <w:tcW w:w="3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67,000</w:t>
            </w:r>
          </w:p>
        </w:tc>
      </w:tr>
      <w:tr>
        <w:trPr/>
        <w:tc>
          <w:tcPr>
            <w:tcW w:w="6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cash flow from finance lease obligations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vAlign w:val="bottom"/>
          </w:tcPr>
          <w:p>
            <w:pPr>
              <w:pStyle w:val="TableContents"/>
              <w:bidi w:val="0"/>
              <w:spacing w:before="0" w:after="283"/>
              <w:jc w:val="left"/>
              <w:rPr/>
            </w:pPr>
            <w:r>
              <w:rPr/>
              <w:t> </w:t>
            </w:r>
          </w:p>
        </w:tc>
        <w:tc>
          <w:tcPr>
            <w:tcW w:w="3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r>
      <w:tr>
        <w:trPr/>
        <w:tc>
          <w:tcPr>
            <w:tcW w:w="6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activity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r>
      <w:tr>
        <w:trPr/>
        <w:tc>
          <w:tcPr>
            <w:tcW w:w="6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 lease asset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0"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tbl>
      <w:tblPr>
        <w:tblW w:w="8320" w:type="dxa"/>
        <w:jc w:val="left"/>
        <w:tblInd w:w="0" w:type="dxa"/>
        <w:tblLayout w:type="fixed"/>
        <w:tblCellMar>
          <w:top w:w="0" w:type="dxa"/>
          <w:left w:w="0" w:type="dxa"/>
          <w:bottom w:w="0" w:type="dxa"/>
          <w:right w:w="0" w:type="dxa"/>
        </w:tblCellMar>
      </w:tblPr>
      <w:tblGrid>
        <w:gridCol w:w="5236"/>
        <w:gridCol w:w="146"/>
        <w:gridCol w:w="736"/>
        <w:gridCol w:w="435"/>
        <w:gridCol w:w="146"/>
        <w:gridCol w:w="972"/>
        <w:gridCol w:w="649"/>
      </w:tblGrid>
      <w:tr>
        <w:trPr/>
        <w:tc>
          <w:tcPr>
            <w:tcW w:w="5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6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4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w:t>
            </w:r>
          </w:p>
        </w:tc>
        <w:tc>
          <w:tcPr>
            <w:tcW w:w="6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aggregate future minimum finance lease payments, including imputed interest are as follows:</w:t>
      </w:r>
    </w:p>
    <w:tbl>
      <w:tblPr>
        <w:tblW w:w="6390" w:type="dxa"/>
        <w:jc w:val="left"/>
        <w:tblInd w:w="0" w:type="dxa"/>
        <w:tblLayout w:type="fixed"/>
        <w:tblCellMar>
          <w:top w:w="0" w:type="dxa"/>
          <w:left w:w="0" w:type="dxa"/>
          <w:bottom w:w="0" w:type="dxa"/>
          <w:right w:w="0" w:type="dxa"/>
        </w:tblCellMar>
      </w:tblPr>
      <w:tblGrid>
        <w:gridCol w:w="4651"/>
        <w:gridCol w:w="146"/>
        <w:gridCol w:w="286"/>
        <w:gridCol w:w="1021"/>
        <w:gridCol w:w="286"/>
      </w:tblGrid>
      <w:tr>
        <w:trPr/>
        <w:tc>
          <w:tcPr>
            <w:tcW w:w="4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finance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Loan Payable — Financed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financed the purchase of a delivery vehicle in July 2020. The loan obligation totaled $3,000 and $5,000 as of March 31, 2026 and December 31, 2025, respectively. The loan bears no interest and a final payment is due and payable for all unpaid principal on July 20,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maturities of this loan are as follows:</w:t>
      </w:r>
    </w:p>
    <w:tbl>
      <w:tblPr>
        <w:tblW w:w="5415" w:type="dxa"/>
        <w:jc w:val="left"/>
        <w:tblInd w:w="0" w:type="dxa"/>
        <w:tblLayout w:type="fixed"/>
        <w:tblCellMar>
          <w:top w:w="0" w:type="dxa"/>
          <w:left w:w="0" w:type="dxa"/>
          <w:bottom w:w="0" w:type="dxa"/>
          <w:right w:w="0" w:type="dxa"/>
        </w:tblCellMar>
      </w:tblPr>
      <w:tblGrid>
        <w:gridCol w:w="3916"/>
        <w:gridCol w:w="146"/>
        <w:gridCol w:w="286"/>
        <w:gridCol w:w="781"/>
        <w:gridCol w:w="286"/>
      </w:tblGrid>
      <w:tr>
        <w:trPr/>
        <w:tc>
          <w:tcPr>
            <w:tcW w:w="39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is a corporation co-founded by two directors of the Company, Michael and Robert Taglich.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issuance of the Related Party Notes, Michael and Robert Taglich were issued a total of 35,508 shares of common stock and Taglich Brothers, Inc. was issued promissory notes totaling $554,000 for placement agency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Eighth Amendment to the Current Credit Facility, the Company is allowed to make principal payments of up to $4,800,000 with funds raised in the Company’s At the Market offering. For the three month period ended March 31, 2025, the Company paid a total of $1,291,000 of principal payments. Of the $1,291,000 paid, $1,050,000 was paid to Michael Taglich and $241,000 was paid to Taglich Brothers,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March 31, 2026 and December 31, 2025 consist of:</w:t>
      </w:r>
    </w:p>
    <w:tbl>
      <w:tblPr>
        <w:tblW w:w="9217" w:type="dxa"/>
        <w:jc w:val="left"/>
        <w:tblInd w:w="0" w:type="dxa"/>
        <w:tblLayout w:type="fixed"/>
        <w:tblCellMar>
          <w:top w:w="0" w:type="dxa"/>
          <w:left w:w="0" w:type="dxa"/>
          <w:bottom w:w="0" w:type="dxa"/>
          <w:right w:w="0" w:type="dxa"/>
        </w:tblCellMar>
      </w:tblPr>
      <w:tblGrid>
        <w:gridCol w:w="3226"/>
        <w:gridCol w:w="146"/>
        <w:gridCol w:w="286"/>
        <w:gridCol w:w="1126"/>
        <w:gridCol w:w="146"/>
        <w:gridCol w:w="286"/>
        <w:gridCol w:w="1126"/>
        <w:gridCol w:w="146"/>
        <w:gridCol w:w="509"/>
        <w:gridCol w:w="617"/>
        <w:gridCol w:w="146"/>
        <w:gridCol w:w="286"/>
        <w:gridCol w:w="1171"/>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w:t>
              <w:br/>
              <w:t>Taglich,</w:t>
              <w:br/>
              <w:t>Director</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w:t>
              <w:br/>
              <w:t>Taglich,</w:t>
              <w:br/>
              <w:t>Director</w:t>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Brothers,</w:t>
              <w:br/>
              <w:t>Inc.</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4,321,000</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bottom"/>
          </w:tcPr>
          <w:p>
            <w:pPr>
              <w:pStyle w:val="TableContents"/>
              <w:bidi w:val="0"/>
              <w:spacing w:before="0" w:after="283"/>
              <w:jc w:val="left"/>
              <w:rPr/>
            </w:pPr>
            <w:r>
              <w:rPr/>
              <w:t> </w:t>
            </w:r>
          </w:p>
        </w:tc>
        <w:tc>
          <w:tcPr>
            <w:tcW w:w="5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1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r>
      <w:tr>
        <w:trPr/>
        <w:tc>
          <w:tcPr>
            <w:tcW w:w="3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bottom"/>
          </w:tcPr>
          <w:p>
            <w:pPr>
              <w:pStyle w:val="TableContents"/>
              <w:bidi w:val="0"/>
              <w:spacing w:before="0" w:after="283"/>
              <w:jc w:val="left"/>
              <w:rPr/>
            </w:pPr>
            <w:r>
              <w:rPr/>
              <w:t> </w:t>
            </w:r>
          </w:p>
        </w:tc>
        <w:tc>
          <w:tcPr>
            <w:tcW w:w="5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$4,871,000, approximately $2,519,000 bears an annual rate of interest of 6%, $1,802,000 bears an annual rate of 7% and $550,000 bears an annual interest rate of 12%. Interest expense for the three months ended March 31, 2026 and 2025 on all related party notes payable was $86,000 and $99,000,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There are no principal payments due prior to October 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are subordinate to outstanding debt pursuant to the Current Credit Facility and mature on October 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STOCKHOLDERS’ EQUITY</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Issuances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4,600 and 9,185 shares of common stock in payment of director fees totaling $14,000 and $39,000 for the three months ended March 31, 2026 and 2025,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of 2026, the Company issued 4,484 shares of common stock in payment of directors’ fees totaling $14,000.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of 2026, the Company issued 57,345 shares of common stock upon the vesting of Restricted Stock Units (“RSUs”) to certain employees and withheld the balance of the 94,210 RSUs in satisfaction of tax withholding obligations. This represents a portion of the RSUs granted in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during April of 2026, the Company issued 7,775 shares of common stock upon the vesting of RSUs to a former executive pursuant a separation agreement and withheld the balance of the 12,159 RSUs in satisfaction of withholding tax obligations. This represents a portion of the RSUs granted in February of 2026. (See Note 7. Stock Options and Restricted Stock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STOCK OPTIONS AND RESTRICTED STOCK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shareholders of the Company approved the amendment to the 2022 Equity Incentive Plan (“2022 Plan”) to increase the number of shares authorized to be used under the plan by 250,000 shares, from 650,000 shares to 900,000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for certain employees and members of the Company’s Board of Directors of $27,000 and $18,000 for the three months ended March 31, 2026 and 2025, respectively, in its condensed consolidated statements of operations, and such amounts were included as a component of 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stock options as of March 31, 2026 and December 31, 2025, and changes during the periods then ended are presented below:</w:t>
      </w:r>
    </w:p>
    <w:tbl>
      <w:tblPr>
        <w:tblW w:w="6440" w:type="dxa"/>
        <w:jc w:val="left"/>
        <w:tblInd w:w="0" w:type="dxa"/>
        <w:tblLayout w:type="fixed"/>
        <w:tblCellMar>
          <w:top w:w="0" w:type="dxa"/>
          <w:left w:w="0" w:type="dxa"/>
          <w:bottom w:w="0" w:type="dxa"/>
          <w:right w:w="0" w:type="dxa"/>
        </w:tblCellMar>
      </w:tblPr>
      <w:tblGrid>
        <w:gridCol w:w="3766"/>
        <w:gridCol w:w="146"/>
        <w:gridCol w:w="946"/>
        <w:gridCol w:w="206"/>
        <w:gridCol w:w="146"/>
        <w:gridCol w:w="338"/>
        <w:gridCol w:w="892"/>
      </w:tblGrid>
      <w:tr>
        <w:trPr/>
        <w:tc>
          <w:tcPr>
            <w:tcW w:w="3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r>
          </w:p>
        </w:tc>
        <w:tc>
          <w:tcPr>
            <w:tcW w:w="146"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Wtd. Avg.</w:t>
              <w:br/>
              <w:t xml:space="preserve">Exercise </w:t>
              <w:br/>
              <w:t>Price</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right"/>
              <w:rPr/>
            </w:pPr>
            <w:r>
              <w:rPr/>
              <w:t>—</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(51,300</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bidi w:val="0"/>
              <w:spacing w:before="0" w:after="283"/>
              <w:jc w:val="right"/>
              <w:rPr/>
            </w:pPr>
            <w:r>
              <w:rPr/>
              <w:t>—</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right"/>
              <w:rPr/>
            </w:pPr>
            <w:r>
              <w:rPr/>
              <w:t>—</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(30,250</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2026</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r>
      <w:tr>
        <w:trPr/>
        <w:tc>
          <w:tcPr>
            <w:tcW w:w="3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March 31, 2026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380,453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March 31, 2026:</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246"/>
        <w:gridCol w:w="146"/>
        <w:gridCol w:w="383"/>
        <w:gridCol w:w="847"/>
      </w:tblGrid>
      <w:tr>
        <w:trPr/>
        <w:tc>
          <w:tcPr>
            <w:tcW w:w="25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Outstanding</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Life</w:t>
            </w:r>
          </w:p>
        </w:tc>
        <w:tc>
          <w:tcPr>
            <w:tcW w:w="146"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Wtd. Avg.</w:t>
              <w:br/>
              <w:t xml:space="preserve">Exercise </w:t>
              <w:br/>
              <w:t>Price</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Years</w:t>
            </w:r>
          </w:p>
        </w:tc>
        <w:tc>
          <w:tcPr>
            <w:tcW w:w="14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December 31, 2025:</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246"/>
        <w:gridCol w:w="146"/>
        <w:gridCol w:w="383"/>
        <w:gridCol w:w="847"/>
      </w:tblGrid>
      <w:tr>
        <w:trPr/>
        <w:tc>
          <w:tcPr>
            <w:tcW w:w="25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Outstanding</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Life</w:t>
            </w:r>
          </w:p>
        </w:tc>
        <w:tc>
          <w:tcPr>
            <w:tcW w:w="146"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Wtd. Avg.</w:t>
              <w:br/>
              <w:t xml:space="preserve">Exercise </w:t>
              <w:br/>
              <w:t>Price</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14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there was $8,000 of unrecognized compensation cost related to non-vested stock option awards, which is to be recognized over the remaining weighted average vesting period of 0.2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at March 31, 2026 was based on the Company’s closing stock price of $3.23 was $14,000. The aggregate intrinsic value at December 31, 2025 was based on the Company’s closing stock price of $3.07 was approximately $4,000. The aggregate intrinsic value was calculated based on the positive difference between the closing market price of the Company’s Common Stock and the exercise prices of the underlying options.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2026 and 2025, the Company granted 243,172 and 0 RSUs to certain employees and directors. These RSUs vested immediately.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RSUs as of March 31, 2026, is presented below.</w:t>
      </w:r>
    </w:p>
    <w:tbl>
      <w:tblPr>
        <w:tblW w:w="7658" w:type="dxa"/>
        <w:jc w:val="left"/>
        <w:tblInd w:w="0" w:type="dxa"/>
        <w:tblLayout w:type="fixed"/>
        <w:tblCellMar>
          <w:top w:w="0" w:type="dxa"/>
          <w:left w:w="0" w:type="dxa"/>
          <w:bottom w:w="0" w:type="dxa"/>
          <w:right w:w="0" w:type="dxa"/>
        </w:tblCellMar>
      </w:tblPr>
      <w:tblGrid>
        <w:gridCol w:w="4666"/>
        <w:gridCol w:w="146"/>
        <w:gridCol w:w="1056"/>
        <w:gridCol w:w="249"/>
        <w:gridCol w:w="146"/>
        <w:gridCol w:w="435"/>
        <w:gridCol w:w="960"/>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Units</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Wtd. Avg.</w:t>
              <w:br/>
              <w:t xml:space="preserve">Grant Date </w:t>
              <w:br/>
              <w:t>Fair</w:t>
              <w:br/>
              <w:t xml:space="preserve">Value per </w:t>
              <w:br/>
              <w:t>Unit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January 1, 2025</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(95,210</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bidi w:val="0"/>
              <w:spacing w:before="0" w:after="283"/>
              <w:jc w:val="right"/>
              <w:rPr/>
            </w:pPr>
            <w:r>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during the period</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bidi w:val="0"/>
              <w:spacing w:before="0" w:after="283"/>
              <w:jc w:val="right"/>
              <w:rPr/>
            </w:pPr>
            <w:r>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December 31, 2025</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243,172</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 but shares not issued</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(243,172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during the period</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March 31, 2026</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bottom"/>
          </w:tcPr>
          <w:p>
            <w:pPr>
              <w:pStyle w:val="TableContents"/>
              <w:bidi w:val="0"/>
              <w:spacing w:before="0" w:after="283"/>
              <w:jc w:val="left"/>
              <w:rPr/>
            </w:pPr>
            <w:r>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as of March 31, 2026</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338,382</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of $923,000 and $417,000 for the three months ended March 31, 2026 and 2025, respectively, in its condensed consolidated statements of operations, and such amounts were included as a component of 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there was $226,000 of unrecognized compensation cost related to non-vested RSUs, which is to be recognized over the remaining weighted average vesting period of 1.0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In consultation with legal counsel, there are no proceedings in which any of the Company’s directors, officers or affiliates, or any registered or beneficial stockholder of its common stock, is an adverse party or has a material interest adverse to our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no income tax expense for the three months ended March 31, 2026 and 2025 because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the Company provided a full valuation allowance against its net deferred tax assets since the Company believes it is more likely than not that its deferred tax assets will not be realized.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SEGMENT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as one operating segment. The Company’s Chief Operating Decision Maker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condensed consolidated balance sheets.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expenses that are regularly provided to the CODM are disclosed in the consolidated statements of operations as a part of the condensed consolidated net income (loss). See the condensed consolidated financial statements for all financial information regarding the Company’s operating segment.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revenues of the Company are earned in the United States of America.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tangible assets, as well as the Company’s operating lease right-of use assets recognized on the Condensed Consolidated Balance Sheets were located in the United States.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MERGER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Transitory Air Sub LLC</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its wholly owned subsidiary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 entered into an Agreement and Plan of Merger (the “Merger Agreement”) with Tenax Aerospace Acquisition, LLC, a Delaware limited liability company (“</w:t>
      </w:r>
      <w:r>
        <w:rPr>
          <w:rFonts w:ascii="Times New Roman PS Std;serif" w:hAnsi="Times New Roman PS Std;serif"/>
          <w:b w:val="false"/>
          <w:i w:val="false"/>
          <w:caps w:val="false"/>
          <w:smallCaps w:val="false"/>
          <w:sz w:val="20"/>
          <w:u w:val="single"/>
        </w:rPr>
        <w:t>Tenax</w:t>
      </w:r>
      <w:r>
        <w:rPr>
          <w:rFonts w:ascii="Times New Roman PS Std;serif" w:hAnsi="Times New Roman PS Std;serif"/>
          <w:b w:val="false"/>
          <w:i w:val="false"/>
          <w:caps w:val="false"/>
          <w:smallCaps w:val="false"/>
          <w:sz w:val="20"/>
        </w:rPr>
        <w:t>”). Upon consummation of the merger contemplated by the Merger Agreement (the “Merger”), Tenax will become a wholly owned subsidiary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the Company will issue shares of its common stock (the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to the holders of the membership interests of Tenax (the “</w:t>
      </w:r>
      <w:r>
        <w:rPr>
          <w:rFonts w:ascii="Times New Roman PS Std;serif" w:hAnsi="Times New Roman PS Std;serif"/>
          <w:b w:val="false"/>
          <w:i w:val="false"/>
          <w:caps w:val="false"/>
          <w:smallCaps w:val="false"/>
          <w:sz w:val="20"/>
          <w:u w:val="single"/>
        </w:rPr>
        <w:t>Tenax Members</w:t>
      </w:r>
      <w:r>
        <w:rPr>
          <w:rFonts w:ascii="Times New Roman PS Std;serif" w:hAnsi="Times New Roman PS Std;serif"/>
          <w:b w:val="false"/>
          <w:i w:val="false"/>
          <w:caps w:val="false"/>
          <w:smallCaps w:val="false"/>
          <w:sz w:val="20"/>
        </w:rPr>
        <w:t>”) at the closing of the Merger. A portion of the Merger Consideration allocated in respect of membership interests of Tenax underlying certain Tenax warrants that remain unexercised as of the closing, if any, will be reserved by the Company for future issuance upon the exercise of such warrants. The number of shares of the Company’s common stock to be issued to the Tenax Members will be adjusted based on a calculation of AIR Net Indebtedness (as defined in the Merger Agreement). Based on the amount of AIR Net Indebtedness as of March 31, 2026, the calculation would result in the issuance of approximately 122.6 million shares of the Company’s common stock. Consequently, based upon the calculation of the Merger Consideration as of March 31, 2026, following the closing of the Merger, the Tenax Members will collectively own approximately 96% of the outstanding shares of the Company’s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5" w:name="T706"/>
      <w:bookmarkEnd w:id="95"/>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 of Air Industries Group and subsidiaries (the “Company”) as of December 31, 2025, the related consolidated statements of operations,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1, the Current Credit Facility is scheduled to expire on September 30, 2026 and the Related Party Subordinated Notes mature on October 1, 2026.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and Related Party Subordinated notes expiration dates and the rights granted to the lender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 reasonable basis for our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Audit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CBIZ CPAs P.C.</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2008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Saddle Brook, NJ</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6" w:name="T507"/>
      <w:bookmarkEnd w:id="96"/>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 of Air Industries Group and subsidiaries (the “Company”) as of December 31, 2024, the related consolidated statements of operations, changes in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more fully described in Note 1, the Current Credit Facility expires on December 30, 2025.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expiration date and the rights granted to the lender, combined with the reasonable possibility that the Company might fail to meet covenants in the future,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from 2008 through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Saddle Brook, NJ</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15,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7" w:name="T508"/>
      <w:bookmarkEnd w:id="97"/>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Credit Losses of $464,000 and $396,000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Right-Of-Use-Assets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 Net, Deposits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37,616,000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(see Note 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par value $.001 – Authorized 3,000,000 shares, 0 shares outstanding, at both December 31, 2025 and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 Par Value $.001 – Authorized 6,000,000 shares, 4,776,454 and 3,474,970 shares issued and outstanding as of December 31, 2025 and December 31, 2024,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8" w:name="T509"/>
      <w:bookmarkEnd w:id="98"/>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br/>
        <w:t>For the Years Ended December 31,</w:t>
      </w:r>
    </w:p>
    <w:tbl>
      <w:tblPr>
        <w:tblW w:w="9674" w:type="dxa"/>
        <w:jc w:val="left"/>
        <w:tblInd w:w="0" w:type="dxa"/>
        <w:tblLayout w:type="fixed"/>
        <w:tblCellMar>
          <w:top w:w="0" w:type="dxa"/>
          <w:left w:w="0" w:type="dxa"/>
          <w:bottom w:w="0" w:type="dxa"/>
          <w:right w:w="0" w:type="dxa"/>
        </w:tblCellMar>
      </w:tblPr>
      <w:tblGrid>
        <w:gridCol w:w="5791"/>
        <w:gridCol w:w="146"/>
        <w:gridCol w:w="286"/>
        <w:gridCol w:w="1246"/>
        <w:gridCol w:w="241"/>
        <w:gridCol w:w="146"/>
        <w:gridCol w:w="286"/>
        <w:gridCol w:w="1246"/>
        <w:gridCol w:w="286"/>
      </w:tblGrid>
      <w:tr>
        <w:trPr/>
        <w:tc>
          <w:tcPr>
            <w:tcW w:w="5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Benefit From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4,216,918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3,336,464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9" w:name="T510"/>
      <w:bookmarkEnd w:id="99"/>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Equity</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Years Ended December 31, 2025 and 2024</w:t>
      </w:r>
    </w:p>
    <w:tbl>
      <w:tblPr>
        <w:tblW w:w="10205" w:type="dxa"/>
        <w:jc w:val="left"/>
        <w:tblInd w:w="0" w:type="dxa"/>
        <w:tblLayout w:type="fixed"/>
        <w:tblCellMar>
          <w:top w:w="0" w:type="dxa"/>
          <w:left w:w="0" w:type="dxa"/>
          <w:bottom w:w="0" w:type="dxa"/>
          <w:right w:w="0" w:type="dxa"/>
        </w:tblCellMar>
      </w:tblPr>
      <w:tblGrid>
        <w:gridCol w:w="1918"/>
        <w:gridCol w:w="146"/>
        <w:gridCol w:w="1126"/>
        <w:gridCol w:w="146"/>
        <w:gridCol w:w="286"/>
        <w:gridCol w:w="706"/>
        <w:gridCol w:w="146"/>
        <w:gridCol w:w="286"/>
        <w:gridCol w:w="1246"/>
        <w:gridCol w:w="241"/>
        <w:gridCol w:w="146"/>
        <w:gridCol w:w="286"/>
        <w:gridCol w:w="1321"/>
        <w:gridCol w:w="241"/>
        <w:gridCol w:w="146"/>
        <w:gridCol w:w="286"/>
        <w:gridCol w:w="1246"/>
        <w:gridCol w:w="286"/>
      </w:tblGrid>
      <w:tr>
        <w:trPr/>
        <w:tc>
          <w:tcPr>
            <w:tcW w:w="19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81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Equity</w:t>
            </w:r>
          </w:p>
        </w:tc>
      </w:tr>
      <w:tr>
        <w:trPr/>
        <w:tc>
          <w:tcPr>
            <w:tcW w:w="19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77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8" w:type="dxa"/>
            <w:gridSpan w:val="3"/>
            <w:vMerge w:val="continue"/>
            <w:tcBorders/>
            <w:vAlign w:val="bottom"/>
          </w:tcPr>
          <w:p>
            <w:pPr>
              <w:pStyle w:val="Normal"/>
              <w:bidi w:val="0"/>
              <w:jc w:val="left"/>
              <w:rPr/>
            </w:pPr>
            <w:r>
              <w:rPr/>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3,303,045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(67,741,000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15,190,000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directors fees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stock options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3,474,970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directors fees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1,213,593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upon settlement of restricted stock units, net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4,776,454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0" w:name="T511"/>
      <w:bookmarkEnd w:id="100"/>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w:t>
        <w:br/>
        <w:t>For the Years Ended December 31,</w:t>
      </w:r>
    </w:p>
    <w:tbl>
      <w:tblPr>
        <w:tblW w:w="10205" w:type="dxa"/>
        <w:jc w:val="left"/>
        <w:tblInd w:w="0" w:type="dxa"/>
        <w:tblLayout w:type="fixed"/>
        <w:tblCellMar>
          <w:top w:w="0" w:type="dxa"/>
          <w:left w:w="0" w:type="dxa"/>
          <w:bottom w:w="0" w:type="dxa"/>
          <w:right w:w="0" w:type="dxa"/>
        </w:tblCellMar>
      </w:tblPr>
      <w:tblGrid>
        <w:gridCol w:w="6412"/>
        <w:gridCol w:w="146"/>
        <w:gridCol w:w="286"/>
        <w:gridCol w:w="1201"/>
        <w:gridCol w:w="241"/>
        <w:gridCol w:w="146"/>
        <w:gridCol w:w="286"/>
        <w:gridCol w:w="1201"/>
        <w:gridCol w:w="286"/>
      </w:tblGrid>
      <w:tr>
        <w:trPr/>
        <w:tc>
          <w:tcPr>
            <w:tcW w:w="64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 of real estate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sale of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Allowances for Credit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(2,301,000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fixed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 revolver – net – Current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Current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Solar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proceeds from Common Stock issued for 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taxes related to net share settlement of equity awards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subordinated Notes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term loan – Current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finance lease obligations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loan payable – financed asset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 — (Continued)</w:t>
        <w:br/>
        <w:t>For the Years Ended December 31,</w:t>
      </w:r>
    </w:p>
    <w:tbl>
      <w:tblPr>
        <w:tblW w:w="10017" w:type="dxa"/>
        <w:jc w:val="left"/>
        <w:tblInd w:w="0" w:type="dxa"/>
        <w:tblLayout w:type="fixed"/>
        <w:tblCellMar>
          <w:top w:w="0" w:type="dxa"/>
          <w:left w:w="0" w:type="dxa"/>
          <w:bottom w:w="0" w:type="dxa"/>
          <w:right w:w="0" w:type="dxa"/>
        </w:tblCellMar>
      </w:tblPr>
      <w:tblGrid>
        <w:gridCol w:w="6856"/>
        <w:gridCol w:w="146"/>
        <w:gridCol w:w="286"/>
        <w:gridCol w:w="1126"/>
        <w:gridCol w:w="146"/>
        <w:gridCol w:w="286"/>
        <w:gridCol w:w="1171"/>
      </w:tblGrid>
      <w:tr>
        <w:trPr/>
        <w:tc>
          <w:tcPr>
            <w:tcW w:w="68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year for interest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1,829,000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1,849,000</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year for taxes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6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investing and finance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from Solar Credit Facility directly to contractor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533,000</w:t>
            </w:r>
          </w:p>
        </w:tc>
      </w:tr>
      <w:tr>
        <w:trPr/>
        <w:tc>
          <w:tcPr>
            <w:tcW w:w="6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financed lease asset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319,000</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1" w:name="T512"/>
      <w:bookmarkEnd w:id="101"/>
      <w:r>
        <w:rPr>
          <w:rFonts w:ascii="Times New Roman PS Std;serif" w:hAnsi="Times New Roman PS Std;serif"/>
          <w:b/>
          <w:i w:val="false"/>
          <w:caps w:val="false"/>
          <w:smallCaps w:val="false"/>
          <w:sz w:val="20"/>
        </w:rPr>
        <w:t>AIR INDUSTRIES GROUP</w:t>
        <w:br/>
        <w:t xml:space="preserve">NOTES TO CONSOLIDATED FINANCIAL STATEMENTS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ORGANIZATION AND BASIS OF PRESENTATION</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 is a Nevada corporation (“AIRI”). As of and for the years ended December 31, 2025 and 2024, the accompanying consolidated financial statements presented are those of AIRI, and its wholly-owned subsidiaries; Air Industries Machining Corp. (“AIM”), Nassau Tool Works, Inc. (“NTW”), and the Sterling Engineering Corporation (“Sterling”), (together,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Business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leading manufacturer of precision assemblies and components for large aerospace and defense prime contractors. Its products include landing gears, flight controls, engine mounts and components for aircraft jet engines, ground turbines and other complex machines. Most of its machined components and assemblies are integral to high-profile platforms and named programs including the F-18 Hornet, the E2D Hawkeye, the UH-60 Black Hawk Helicopter, the Geared Turbo-Fan Engine, the CH-53 Helicopter, the F-35 Lighting II (also known as the Joint Strike Fighter) and the F-15 Eagle Tactical Fighter.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direct customers are primarily large aerospace and defense prime contractors. The ultimate end-users for most of its products are the U.S. Government, international governments, and commercial global airlines.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of the Company have been prepared in accordance with generally accepted accounting principles (“GAAP”) in the United States of America and the rules and regulations of the Securities and Exchange Commission. All dollar amounts have been rounded to the nearest whole number. As a result, totals may not sum precisely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 and Management’s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debt under the Company’s Current Credit Facility and Related Party Subordinated Notes approximates $28,344,000. The Current Credit Facility is scheduled to expire on September 30, 2026, and the Related Party Subordinated Notes mature on October 1, 2026. These obligations are classified as current liabilities on the consolidated balance sheets as of December 31, 2025. As a result of the aforementioned and rights that the Current Credit Facility lender could exercise, there is substantial doubt about the Company’s ability to continue as a going concern for the twelve months following the date of filing of these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through alternative financing 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ongoing negotiations with all of our lenders and the terms of the Merger Agreement with Tenax, the Company has temporarily paused all equity raising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was in compliance with its minimum Fixed Coverage Charge ratio (“FCCR”) of 1.10x on a quarterly basis as well as the requirement that fixed asset acquisitions not exceed $3,300,000. All other financial and business covenants under the terms its Current Credit Facility were met as of December 31, 2025. The terms of all outstanding indebtedness are discussed further in “Note 8. Debt”.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ORGANIZATION AND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maintain a collection account with its lender into which substantially all cash receipts are remitted. Additionally, if the Company were to be in default of its Current Credit Facility the lender could choose to exercise its rights, for example, increasing the rate of interest or refusing to make loans under the revolving portion of the Current Credit Facility and keep the funds remitted to the collection account. If the lender were to raise the rate of interest or exercise other remedies available under the Current Credit Facility, it would adversely impact the Company’s operating results. If the lender were to cease making new loans under the revolving facility or limit availability under the revolving facility, the Company would lack the funds to continue operations or, possibly, expand its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recent contract awards, as of December 31, 2025, the Company had total unfilled contract values amounting to $270.1 million (including its $136.8 million in funded backlog plus additional potential funded orders against Long-Term Agreements (“LTAs”). These unfilled contract values support a positive outlook for future growth; however, extended lead times for raw material procurement and the complexity of manufacturing processes are expected to delay revenue acceleration until late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accounts of the Company and its wholly-owned subsidiaries. Significant intercompany accounts and transactions have been eliminated in consolidation.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carried at the original invoice amount less an estimate made for expected credit losses based on a review of all outstanding amounts on a quarterly basis. Management determines the allowance for expected credit losses primarily using historical experience as well as current conditions that affect the collectability of the reported amount. Accounts receivable are written off when deemed uncollectible. Bad debt expenses are recorded in operating expenses on the consolidated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values inventory at the lower of cost or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net realizable value are recorded in cost of sales.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carried at cost net of accumulated depreciation and amortization. Repair and maintenance charges are expensed as incurred. Property, equipment, and improvements are depreciated using the straight-line method over the estimated useful lives of the assets or the particular improvements. Expenditures for repairs and improvements in excess of $10,000 that add to the productive capacity or extend the useful life of an asset are capitalized. Upon disposition, the cost and related accumulated depreciation are removed from the accounts and any related gain or loss is reflected in earnings.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Long-Lived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There were no events triggering a review for impairment during the years ended December 31, 2025 and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Financing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incurred with obtaining and executing revolving debt arrangements are capitalized and recorded in other Deferred financing costs, net, deposits, and other assets and amortized using the effective interest method over the term of the related debt. Costs incurred with obtaining and executing other debt arrangements are presented as a direct deduction from the carrying value of the associated debt and also amortized using the effective interest method over the term of the related debt. The amortization of financing costs is included in interest expense in the Consolidated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Costs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 represent costs to be reimbursed from a terminated contract. Contract costs receivable totals $0 at December 31, 2025 and $296,000 at December 31, 2024. The Company collected this receivable on March 18,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and Uncertainties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impacts of rising interest rates, inflation, changes in foreign currency exchange rates and geopolitical developments, such as the ongoing conflict between Russia and Ukraine, the ongoing conflict between Israel and Hamas, and the ongoing conflict between the United States, Israel and Iran, the imposition of tariffs and shifts in international alliances, have resulted, and may continue to result, in a global slowdown of economic activity, which may decrease demand for a broad variety of goods and services, including those provided by the Company’s clients and as a result, the Company, while also disrupting supply channels, sales channels and advertising and marketing activities for an unknown period of time. Additionally, recent changes to U.S. policy implemented by the U.S. Congress, and the Executive Branch and the responses of other nations to such actions have impacted and may in the future impact, among other things, the U.S. and global economy, international alliances and trade relations, unemployment, immigration, healthcare, taxation, the U.S. regulatory environment, inflation and other areas. As a result of the current uncertainty regarding economic activity, the Company is unable to predict the size and duration of the impact on its revenue and its results of operations, if any, of actions taken to date and those that may occur in the future. The extent of the potential impact of these macroeconomic factors on the Company’s operational and financial performance will depend on a variety of factors, including the extent of geopolitical disruption and its impact on the Company’s clients, partners, industry, and employees, all of which are uncertain at this time and cannot be accurately predicted. The Company continues to monitor the effects of these macroeconomic factors and intends to take steps deemed appropriate to limit the impact on its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precautionary measures, whether adopted by the Company or imposed by others, will be effective, and such measures could negatively affect its sales, marketing, and client service efforts, delay and lengthen its sales cycles, decrease its employees’, clients’, or partners’ productivity, or create operational or other challenges, any of which could harm its business and results of operations.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Reporting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discrete financial information is available for evaluation by the operating decision makers, or decision-making group, in making decisions on how to allocate resources and assess performance. The Company operates as a single reportable segment, as the Chief Operating Decision Maker (“CODM”) reviews financial performance and makes decisions on a consolidated basis. (See Note 15. Segment Reporting).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 Recognition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to depict the transfer of promised goods to customers in an amount that reflects the consideration to which the Company expects to be entitled in exchange for those goods.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as the customer obtains control of the goods and services promised in the contract (i.e., performance obligations). In evaluating our contracts with our customers, we have determined that there is no future performance obligation once delivery has occurred.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revenue is generated from fixed-price contracts. Under fixed-price contracts, the Company agrees to perform the specified work for a pre-determined price, which is estimated during the bidding process before the contract is awarded. To the extent actual costs vary from the estimates upon which the price was negotiated, the Company will generate more or less profit or could incur a loss.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products promised in each contract at inception to determine whether the contract should be accounted for as having one or more performance obligations. The Company’s contracts are typically accounted for as one performance obligation. The Company classifies net sales as products on its consolidated statements of operations based on the predominant attributes of the performance obligations.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transaction price for each contract based on the consideration expected to be received for the products being provided under the contract.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 contract, the Company estimates the transaction price based on its current rights and does not contemplate future modifications (including unexercised options) or follow-on contracts until they become legally enforceable. Contracts can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 Generally, modifications to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at the point in time in which the performance obligation is fully satisfied. This is satisfied when the product has shipped, which is the point in time the customer obtains control of the product and the Company no longer maintains control of the product.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terms and conditions vary by contract, although terms generally include a requirement of payment within 30 to 75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received in advance from customers are recorded as customer deposits until earned, at which time revenue is recognized. The Terms and Conditions contained in customer purchase orders often provide for liquidated damages in the event that a stop work or contract termination order is issued prior to final delivery. While the products manufactured are specific to the type of aircraft that they are used on, there are alternate customers that can acquire and utilize these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Warranties are provided on certain contracts, but do not provide for services beyond standard assurances and are therefore not considered to be separate performance obligations. Warranties during the years ended December 31, 2025 and 2024, were not material.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2025 and 2024, customer deposits were $391,000 and $1,115,000, respectively. The Company recognized revenue of $724,000 during year ended December 31, 2025, that was included in the customer deposits balance as of December 31, 2024. The Company recognized revenue of $2,442,000 during the year ended December 31, 2024, that was included in the customer deposits balance of $3,557,000 as of December 31,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Backlog represents the value of orders received pursuant to Long-Term Agreements (“LTA”) or spot orders pursuant to a customer purchase order. As of December 31, 2025, backlog relating to remaining performance obligations on contracts was approximately $136.8 million. The Company estimates that a substantial portion of this backlog will be recognized as net sales during the next twenty-four months, with the rest thereafter. This expectation assumes that raw material suppliers and outsourced processing is completed and delivered on time and that the Company’s customers will accept delivery as scheduled. The Company anticipates that sales during the aforementioned periods will also include sales from expected new orders that are not in our backlog.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financial statements, management is required to make estimates and assumptions that affect the reported amounts in the financial statements and accompanying notes. The more significant management estimates are inventory valuation, and income tax provision. Actual results could differ from those estimates. Changes in facts and circumstances may result in revised estimates, which are recorded in the period in which they become known.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and Concentration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large percentage of the Company’s revenues are derived directly from large aerospace and defense prime contractors for which the ultimate end-user is the U.S. Government, international governments or commercial airlines.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net sales for the years ended December 31, 2025 or 2024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88"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5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accounts receivable at December 31, 2025 or 2024 are shown below:</w:t>
      </w:r>
    </w:p>
    <w:tbl>
      <w:tblPr>
        <w:tblW w:w="4630" w:type="dxa"/>
        <w:jc w:val="left"/>
        <w:tblInd w:w="0" w:type="dxa"/>
        <w:tblLayout w:type="fixed"/>
        <w:tblCellMar>
          <w:top w:w="0" w:type="dxa"/>
          <w:left w:w="0" w:type="dxa"/>
          <w:bottom w:w="0" w:type="dxa"/>
          <w:right w:w="0" w:type="dxa"/>
        </w:tblCellMar>
      </w:tblPr>
      <w:tblGrid>
        <w:gridCol w:w="1171"/>
        <w:gridCol w:w="146"/>
        <w:gridCol w:w="945"/>
        <w:gridCol w:w="558"/>
        <w:gridCol w:w="235"/>
        <w:gridCol w:w="945"/>
        <w:gridCol w:w="630"/>
      </w:tblGrid>
      <w:tr>
        <w:trPr/>
        <w:tc>
          <w:tcPr>
            <w:tcW w:w="1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1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Receivables</w:t>
            </w:r>
          </w:p>
        </w:tc>
      </w:tr>
      <w:tr>
        <w:trPr/>
        <w:tc>
          <w:tcPr>
            <w:tcW w:w="1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bottom"/>
          </w:tcPr>
          <w:p>
            <w:pPr>
              <w:pStyle w:val="TableContents"/>
              <w:bidi w:val="0"/>
              <w:spacing w:before="0" w:after="283"/>
              <w:jc w:val="left"/>
              <w:rPr/>
            </w:pPr>
            <w:r>
              <w:rPr/>
              <w:t> </w:t>
            </w:r>
          </w:p>
        </w:tc>
        <w:tc>
          <w:tcPr>
            <w:tcW w:w="150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235"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6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Ontic</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6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6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Disaggregation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revenue from contracts with customers for the years ended December 31, 2025 and 2024:</w:t>
      </w:r>
    </w:p>
    <w:tbl>
      <w:tblPr>
        <w:tblW w:w="4913" w:type="dxa"/>
        <w:jc w:val="left"/>
        <w:tblInd w:w="0" w:type="dxa"/>
        <w:tblLayout w:type="fixed"/>
        <w:tblCellMar>
          <w:top w:w="0" w:type="dxa"/>
          <w:left w:w="0" w:type="dxa"/>
          <w:bottom w:w="0" w:type="dxa"/>
          <w:right w:w="0" w:type="dxa"/>
        </w:tblCellMar>
      </w:tblPr>
      <w:tblGrid>
        <w:gridCol w:w="1306"/>
        <w:gridCol w:w="146"/>
        <w:gridCol w:w="305"/>
        <w:gridCol w:w="1330"/>
        <w:gridCol w:w="146"/>
        <w:gridCol w:w="303"/>
        <w:gridCol w:w="1377"/>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Military</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27,921,000</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38,498,000</w:t>
            </w:r>
          </w:p>
        </w:tc>
      </w:tr>
      <w:tr>
        <w:trPr/>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16,610,000</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Company had occasionally maintained balances in its bank accounts that were in excess of the FDIC limit. The Company has not experienced any losses on these accounts.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December 31, 2024 the Company reported restricted cash of $3,930,000 and $0 on its consolidated balance sheets. Restricted cash represents proceeds from the Company’s ATM offering that are pledged as security for its obligations under the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cash and restricted cash reported with the condensed consolidated balance sheets to the total amount shown in the condensed consolidated statements of cash flows:</w:t>
      </w:r>
    </w:p>
    <w:tbl>
      <w:tblPr>
        <w:tblW w:w="6653" w:type="dxa"/>
        <w:jc w:val="left"/>
        <w:tblInd w:w="0" w:type="dxa"/>
        <w:tblLayout w:type="fixed"/>
        <w:tblCellMar>
          <w:top w:w="0" w:type="dxa"/>
          <w:left w:w="0" w:type="dxa"/>
          <w:bottom w:w="0" w:type="dxa"/>
          <w:right w:w="0" w:type="dxa"/>
        </w:tblCellMar>
      </w:tblPr>
      <w:tblGrid>
        <w:gridCol w:w="3046"/>
        <w:gridCol w:w="146"/>
        <w:gridCol w:w="331"/>
        <w:gridCol w:w="1304"/>
        <w:gridCol w:w="146"/>
        <w:gridCol w:w="376"/>
        <w:gridCol w:w="1304"/>
      </w:tblGrid>
      <w:tr>
        <w:trPr/>
        <w:tc>
          <w:tcPr>
            <w:tcW w:w="30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0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r>
      <w:tr>
        <w:trPr/>
        <w:tc>
          <w:tcPr>
            <w:tcW w:w="30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bidi w:val="0"/>
              <w:spacing w:before="0" w:after="283"/>
              <w:jc w:val="right"/>
              <w:rPr/>
            </w:pPr>
            <w:r>
              <w:rPr/>
              <w:t>—</w:t>
            </w:r>
          </w:p>
        </w:tc>
      </w:tr>
      <w:tr>
        <w:trPr/>
        <w:tc>
          <w:tcPr>
            <w:tcW w:w="30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restricted cash</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146" w:type="dxa"/>
            <w:tcBorders/>
            <w:shd w:fill="CCEEFF" w:val="clear"/>
            <w:vAlign w:val="bottom"/>
          </w:tcPr>
          <w:p>
            <w:pPr>
              <w:pStyle w:val="TableContents"/>
              <w:bidi w:val="0"/>
              <w:spacing w:before="0" w:after="283"/>
              <w:jc w:val="left"/>
              <w:rPr/>
            </w:pPr>
            <w:r>
              <w:rPr/>
              <w:t> </w:t>
            </w:r>
          </w:p>
        </w:tc>
        <w:tc>
          <w:tcPr>
            <w:tcW w:w="3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or unwilling to provide parts for any reason, its business could be severely harmed.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in accordance with accounting guidance now codified as Financial Accounting Standards Board (“FASB”) Accounting Standards Codification (“ASC”) 740, “Income Taxes,” which requires that the Company recognize deferred tax liabilities and assets based on the differences between the financial statement carrying amounts and the tax bases of assets and liabilities, using enacted tax rates in effect in the years the differences are expected to reverse.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or benefit from, income taxes includes deferred taxes resulting from the temporary differences in income for financial and tax purposes using the liability method. Such temporary differences result primarily from the differences in the carrying value of assets and liabilities. Future realization of deferred income tax assets requires sufficient taxable income within the carryback, carryforward period available under tax law. We evaluate, on a quarterly basis whether, based on all available evidence, it is probable that the deferred income tax assets are realizable. Valuation allowances are established when it is more likely than not that the tax benefit of the deferred tax asset will not be realized. The evaluation, as prescribed by ASC 740-10,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uncertainties in income taxes under the provisions of ASC 740 which clarify the accounting for uncertainty in income taxes recognized in an enterprise’s financial statements. The standard prescribes a recognition threshold and measurement attribute for the financial statement recognition and measurement of a tax position taken or expected to be taken in a tax return. The Subtopic provides guidance on the de-recognition, classification, interest and penalties, accounting in interim periods, disclosure and transition.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earnings (loss) per share (“EPS”) is computed by dividing the net loss applicable to common stockholders by the weighted-average number of shares of common stock outstanding for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adjustments to net loss applicable to common shareholders utilized to calculate 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securities have been excluded from the calculation as the exercise price was greater than the average market price of the common stock and because the effect of including these potential shares was anti-dilutive due to the net loss incurred during that period:</w:t>
      </w:r>
    </w:p>
    <w:tbl>
      <w:tblPr>
        <w:tblW w:w="6295" w:type="dxa"/>
        <w:jc w:val="left"/>
        <w:tblInd w:w="0" w:type="dxa"/>
        <w:tblLayout w:type="fixed"/>
        <w:tblCellMar>
          <w:top w:w="0" w:type="dxa"/>
          <w:left w:w="0" w:type="dxa"/>
          <w:bottom w:w="0" w:type="dxa"/>
          <w:right w:w="0" w:type="dxa"/>
        </w:tblCellMar>
      </w:tblPr>
      <w:tblGrid>
        <w:gridCol w:w="2686"/>
        <w:gridCol w:w="146"/>
        <w:gridCol w:w="1636"/>
        <w:gridCol w:w="146"/>
        <w:gridCol w:w="1681"/>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r>
      <w:tr>
        <w:trPr/>
        <w:tc>
          <w:tcPr>
            <w:tcW w:w="2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405,800</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975,821</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1,105,431</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 compensation expense for employees amounted to $939,000 and $640,000 for the years ended December 31, 2025 and 2024, respectively. Stock compensation expense for directors amounted to $108,000 and $157,000 for the years ended December 31, 2025 and 2024, respectively. Stock compensation expenses for employees and directors were included in operating expenses in the accompanying consolidated statements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Freight Out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Freight out is included in operating expenses and amounted to $52,000 and $67,000 for the years ended December 31, 2025 and 2024, respectively.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FASB ASC 842, “Leases” (“ASC 842”), the Company records a right-of-use (ROU) asset and a lease liability on the balance sheet for all leases with terms longer than 12 months and classifies them as either operating or finance leases. The lease classification affects the expense recognition in the consolidated statement of operations. Operating lease charges are recorded entirely in operating expenses. Finance lease charges are split, where amortization of the right-of- use asset is recorded in operating expenses and an implied interest component is recorded in interest expense.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an arrangement, the Company determines whether the arrangement is or contains a lease based on the unique facts and circumstances present and the classification of the lease including whether the contract involves the use of a distinct identified asset, whether the Company obtains the right to substantially all of the economic benefit from the use of the asset, and whether the Company has the right to direct the use of the asset. Leases with a term greater than one year are recognized on the balance sheet as ROU assets, lease liabilities and, if applicable, long-term lease liabilities. The Company has elected not to recognize on the balance sheet leases with terms of one year or less under the practical expedient. For contracts with lease and non-lease components, the Company has elected not to allocate the contract consideration, and to account for the lease and non-lease components as a single lease component.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and their corresponding ROU assets are recorded based on the present value of lease payments over the expected lease term. The implicit rates within the Company’s operating leases are generally not determinable and, therefore, the Company uses the incremental borrowing rate at the lease commencement date to determine the present value of lease payments. The determination of the Company’s incremental borrowing rate requires judgment. The Company determines the incremental borrowing rate for each lease using its estimated borrowing rate, adjusted for various factors including level of collateralization, term and currency to align with the terms of the lease. The operating lease ROU asset also includes any lease prepayments, offset by lease incentives.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option to extend the lease is considered in connection with determining the ROU asset and lease liability when it is reasonably certain the Company will exercise that option. An option to terminate is considered unless it is reasonably certain we will not exercise the option.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 obligations are depreciated over the shorter of their related lease terms or their estimated useful lives.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“Income Taxes (Topic 740): Improvements to Income Tax Disclosures”, related to improvements to income tax disclosures. The amendments in this update require enhanced jurisdictional and other disaggregated disclosures for the effective tax rate reconciliation and income taxes paid. The amendments in this update are effective for fiscal years beginning after December 15, 2024. The Company adopted the guidance prospectively in the fiscal year beginning January 1, 2025 and additional required disclosures have been included in Note13.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“Disaggregation of Income Statement Expenses”, which requires public business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other recently issued, but not yet effective, accounting standards if currently adopted would have a material effect on the accompanying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accounts receivable at December 31, are detailed as follows:</w:t>
      </w:r>
    </w:p>
    <w:tbl>
      <w:tblPr>
        <w:tblW w:w="6464" w:type="dxa"/>
        <w:jc w:val="left"/>
        <w:tblInd w:w="0" w:type="dxa"/>
        <w:tblLayout w:type="fixed"/>
        <w:tblCellMar>
          <w:top w:w="0" w:type="dxa"/>
          <w:left w:w="0" w:type="dxa"/>
          <w:bottom w:w="0" w:type="dxa"/>
          <w:right w:w="0" w:type="dxa"/>
        </w:tblCellMar>
      </w:tblPr>
      <w:tblGrid>
        <w:gridCol w:w="2821"/>
        <w:gridCol w:w="146"/>
        <w:gridCol w:w="286"/>
        <w:gridCol w:w="1126"/>
        <w:gridCol w:w="241"/>
        <w:gridCol w:w="146"/>
        <w:gridCol w:w="286"/>
        <w:gridCol w:w="1126"/>
        <w:gridCol w:w="286"/>
      </w:tblGrid>
      <w:tr>
        <w:trPr/>
        <w:tc>
          <w:tcPr>
            <w:tcW w:w="28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Gross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credit losses for the years ended December 31, 2025 and 2024 is as follows:</w:t>
      </w:r>
    </w:p>
    <w:tbl>
      <w:tblPr>
        <w:tblW w:w="10205" w:type="dxa"/>
        <w:jc w:val="left"/>
        <w:tblInd w:w="0" w:type="dxa"/>
        <w:tblLayout w:type="fixed"/>
        <w:tblCellMar>
          <w:top w:w="0" w:type="dxa"/>
          <w:left w:w="0" w:type="dxa"/>
          <w:bottom w:w="0" w:type="dxa"/>
          <w:right w:w="0" w:type="dxa"/>
        </w:tblCellMar>
      </w:tblPr>
      <w:tblGrid>
        <w:gridCol w:w="4073"/>
        <w:gridCol w:w="146"/>
        <w:gridCol w:w="327"/>
        <w:gridCol w:w="1083"/>
        <w:gridCol w:w="146"/>
        <w:gridCol w:w="304"/>
        <w:gridCol w:w="1007"/>
        <w:gridCol w:w="146"/>
        <w:gridCol w:w="286"/>
        <w:gridCol w:w="1021"/>
        <w:gridCol w:w="241"/>
        <w:gridCol w:w="146"/>
        <w:gridCol w:w="286"/>
        <w:gridCol w:w="993"/>
      </w:tblGrid>
      <w:tr>
        <w:trPr/>
        <w:tc>
          <w:tcPr>
            <w:tcW w:w="40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 xml:space="preserve">Beginning of </w:t>
              <w:br/>
              <w:t>Year</w:t>
            </w:r>
          </w:p>
        </w:tc>
        <w:tc>
          <w:tcPr>
            <w:tcW w:w="146"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Charged to </w:t>
              <w:br/>
              <w:t xml:space="preserve">Costs and </w:t>
              <w:br/>
              <w:t>Expenses</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Deductions </w:t>
              <w:br/>
              <w:t xml:space="preserve">from </w:t>
              <w:br/>
              <w:t>Reserves</w:t>
            </w:r>
          </w:p>
        </w:tc>
        <w:tc>
          <w:tcPr>
            <w:tcW w:w="146" w:type="dxa"/>
            <w:tcBorders/>
            <w:vAlign w:val="bottom"/>
          </w:tcPr>
          <w:p>
            <w:pPr>
              <w:pStyle w:val="TableContents"/>
              <w:bidi w:val="0"/>
              <w:spacing w:before="0" w:after="283"/>
              <w:jc w:val="left"/>
              <w:rPr/>
            </w:pPr>
            <w:r>
              <w:rPr/>
              <w:t> </w:t>
            </w:r>
          </w:p>
        </w:tc>
        <w:tc>
          <w:tcPr>
            <w:tcW w:w="12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w:t>
              <w:br/>
              <w:t xml:space="preserve">End of </w:t>
              <w:br/>
              <w:t>Year</w:t>
            </w:r>
          </w:p>
        </w:tc>
      </w:tr>
      <w:tr>
        <w:trPr/>
        <w:tc>
          <w:tcPr>
            <w:tcW w:w="40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ended December 31, 2025 Allowance for Credit Losses</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r>
      <w:tr>
        <w:trPr/>
        <w:tc>
          <w:tcPr>
            <w:tcW w:w="40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ended December 31, 2024 Allowance for Credit Losses</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344,000</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INVENTORY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inventory at December 31, consisted of the following:</w:t>
      </w:r>
    </w:p>
    <w:tbl>
      <w:tblPr>
        <w:tblW w:w="5783" w:type="dxa"/>
        <w:jc w:val="left"/>
        <w:tblInd w:w="0" w:type="dxa"/>
        <w:tblLayout w:type="fixed"/>
        <w:tblCellMar>
          <w:top w:w="0" w:type="dxa"/>
          <w:left w:w="0" w:type="dxa"/>
          <w:bottom w:w="0" w:type="dxa"/>
          <w:right w:w="0" w:type="dxa"/>
        </w:tblCellMar>
      </w:tblPr>
      <w:tblGrid>
        <w:gridCol w:w="2176"/>
        <w:gridCol w:w="146"/>
        <w:gridCol w:w="305"/>
        <w:gridCol w:w="1330"/>
        <w:gridCol w:w="146"/>
        <w:gridCol w:w="303"/>
        <w:gridCol w:w="1377"/>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7,306,000</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6,318,000</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17,072,000</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13,028,000</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Semi-Finished Goods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9,206,000</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8,805,000</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Final-Finished Goods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677,000</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660,000</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Inventory</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28,811,000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property and equipment at December 31, consisted of the following:</w:t>
      </w:r>
    </w:p>
    <w:tbl>
      <w:tblPr>
        <w:tblW w:w="8891" w:type="dxa"/>
        <w:jc w:val="left"/>
        <w:tblInd w:w="0" w:type="dxa"/>
        <w:tblLayout w:type="fixed"/>
        <w:tblCellMar>
          <w:top w:w="0" w:type="dxa"/>
          <w:left w:w="0" w:type="dxa"/>
          <w:bottom w:w="0" w:type="dxa"/>
          <w:right w:w="0" w:type="dxa"/>
        </w:tblCellMar>
      </w:tblPr>
      <w:tblGrid>
        <w:gridCol w:w="3256"/>
        <w:gridCol w:w="146"/>
        <w:gridCol w:w="286"/>
        <w:gridCol w:w="1321"/>
        <w:gridCol w:w="241"/>
        <w:gridCol w:w="146"/>
        <w:gridCol w:w="286"/>
        <w:gridCol w:w="1321"/>
        <w:gridCol w:w="241"/>
        <w:gridCol w:w="146"/>
        <w:gridCol w:w="150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Land &amp; Improvements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Buildings and Improvements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Instruments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 7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Automotive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of lease</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 and Software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6 years</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48,702,000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(39,201,000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(37,379,000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for the years ended December 31, 2025 and 2024 was approximately $2,499,000 and $2,072,000,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ACCOUNTS PAYABLE AND ACCRUED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accounts payable and accrued expenses at December 31, are detailed as follows:</w:t>
      </w:r>
    </w:p>
    <w:tbl>
      <w:tblPr>
        <w:tblW w:w="7688" w:type="dxa"/>
        <w:jc w:val="left"/>
        <w:tblInd w:w="0" w:type="dxa"/>
        <w:tblLayout w:type="fixed"/>
        <w:tblCellMar>
          <w:top w:w="0" w:type="dxa"/>
          <w:left w:w="0" w:type="dxa"/>
          <w:bottom w:w="0" w:type="dxa"/>
          <w:right w:w="0" w:type="dxa"/>
        </w:tblCellMar>
      </w:tblPr>
      <w:tblGrid>
        <w:gridCol w:w="4081"/>
        <w:gridCol w:w="146"/>
        <w:gridCol w:w="331"/>
        <w:gridCol w:w="1304"/>
        <w:gridCol w:w="146"/>
        <w:gridCol w:w="329"/>
        <w:gridCol w:w="1351"/>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7,100,000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5,580,000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Payroll</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428,000</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369,000</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Bonuses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 other</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716,000</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SALE-LEASEBACK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24, 2006, the Company consummated a Sale — Leaseback Arrangement, whereby the Company sold the buildings and real property located in Bay Shore, New York (the “Bay Shore Property”) for a purchase price of $6,200,000. The Company realized a gain on the sale of $1,051,000 of which $300,000 was recognized during the year ended December 31, 2006. The remaining $751,000 is being recognized ratably over the remaining term of the twenty — year lease at approximately $38,000 per year. The gain is included in Other Income in the accompanying Consolidated Statements of Operations. The unrecognized portion of the gain in the amount of $28,000 and $67,000 as of December 31, 2025 and 2024, respectively, is classified as Deferred Gain on Sale in the accompanying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these transactions under the provisions of FASB ASC 840-40, “Leases-Sale-Leaseback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 with the closing of the sale of the Bay Shore Property, the Company entered into a 20-year lease (the “Lease”) expiring in September 2026 with the purchaser for the property. Base annual rent is approximately $540,000 for the first five years, $560,000 for the sixth year, and thereafter increases 3% per year. The Lease grants the Company an option to renew the Lease for an additional period of five years. The Company has on deposit with the landlord $89,000 as security for the performance of its obligations under the Lease. Pursuant to the terms of the Lease, the Company is required to pay all of the costs associated with the operation of the facilities, including, without limitation, insurance, taxes and maintenance. The lease also contains customary representations, warranties, obligations, conditions and indemnification provisions and grants the landlord customary remedies upon a breach of the lease by the Company, including the right to terminate the Lease and hold the Company liable for any deficiency in future rent. See Note 9 — Operating Lease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Indebtedness to third parties consists of the following:</w:t>
      </w:r>
    </w:p>
    <w:tbl>
      <w:tblPr>
        <w:tblW w:w="8519" w:type="dxa"/>
        <w:jc w:val="left"/>
        <w:tblInd w:w="0" w:type="dxa"/>
        <w:tblLayout w:type="fixed"/>
        <w:tblCellMar>
          <w:top w:w="0" w:type="dxa"/>
          <w:left w:w="0" w:type="dxa"/>
          <w:bottom w:w="0" w:type="dxa"/>
          <w:right w:w="0" w:type="dxa"/>
        </w:tblCellMar>
      </w:tblPr>
      <w:tblGrid>
        <w:gridCol w:w="4486"/>
        <w:gridCol w:w="146"/>
        <w:gridCol w:w="286"/>
        <w:gridCol w:w="1321"/>
        <w:gridCol w:w="241"/>
        <w:gridCol w:w="146"/>
        <w:gridCol w:w="286"/>
        <w:gridCol w:w="1321"/>
        <w:gridCol w:w="286"/>
      </w:tblGrid>
      <w:tr>
        <w:trPr/>
        <w:tc>
          <w:tcPr>
            <w:tcW w:w="4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Revolving loan to Webster Bank (“Webster”)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Webster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CT Green Bank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20,121,000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credit facility (“Current Credit Facility”) with Webster Bank that expires on September 30, 2026. This facility, which was entered into on December 31, 2019, was amended several times, and now provides for a $20,000,000 revolving loan (“Revolving Line of Credit”), and a $5,700,000 term loan (“Term Loan”). An additional advance under the Term Loan was made during the first quarter of 2025 in the amount of $1,640,000 and reference herein to the “Term Loan” for periods after the date of such advance include the $1,640,000. The loan is secured by a lien on substantially all of the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there is $17,618,000 outstanding under the Revolving Line of Credit and $5,855,000 under the Term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the Current Credit Facility expires on September 30, 2026. Therefore, amounts owed under the agreement are classified as short term as of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 shows the timing of payments due under the Term Loan:</w:t>
      </w:r>
    </w:p>
    <w:tbl>
      <w:tblPr>
        <w:tblW w:w="6495" w:type="dxa"/>
        <w:jc w:val="left"/>
        <w:tblInd w:w="0" w:type="dxa"/>
        <w:tblLayout w:type="fixed"/>
        <w:tblCellMar>
          <w:top w:w="0" w:type="dxa"/>
          <w:left w:w="0" w:type="dxa"/>
          <w:bottom w:w="0" w:type="dxa"/>
          <w:right w:w="0" w:type="dxa"/>
        </w:tblCellMar>
      </w:tblPr>
      <w:tblGrid>
        <w:gridCol w:w="4576"/>
        <w:gridCol w:w="146"/>
        <w:gridCol w:w="286"/>
        <w:gridCol w:w="1201"/>
        <w:gridCol w:w="286"/>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Term Loan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portion of Term Loan payable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related to the Current Credit Facility amounted to approximately $1,361,000 and $1,304,000 for the years ended December 31, 2025 and 2024, respectively. Interest expense includes the amortization of deferred finance costs of $69,000 and $68,000 in 2025 and 2024,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various terms of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was required to meet a Fixed Charge Coverage Ratio (as defined) that is determined at the end of each fiscal quarter on a rolling twelve month basis of 1.05x and beginning with the fiscal quarter ending September 30, 2025, the Company is required to meet a Fixed Coverage Charge Ratio of 1.25x. The Company achieved the required FCCR for the period ended September 30, 2025, but did not meet the required FCCR for the period ended June 30, 2025, having attained a ratio of only 0.76x. Pursuant to the 10th Amendment to the current credit facility (detailed below), the Company was required to and achieved the required Fixed Coverage Charge Ratio of 1.10x for the three months ending December 31, 2025. At both December 31, 2025 and 2024, the Company was in full compliance with its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limits the amount of capital expenditures and dividends the Company can pay to its stockholders. As of December 31, 2025, the Company was in compliance with this Covenant.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the Company’s assets are pledged as collateral.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nation’s largest commercial bank, less sixty-five hundredths (-0.65%) of one percent per annum. The average interest rate charged was 6.72% and 7.55% for the years ended December 31, 2025 and 2024,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historical amendments to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May 31, 2024, the Company entered into a Seventh Amendment that waived the default caused by the failure to achieve the required Fixed Charge Coverage Ratio of the Sixth Amendment. This amendment further revised the Financial Covenants. For the six months ending June 30, 2025, EBITDA shall not be less than $740,000; for the nine months ending September 30, 2025, EBITDA shall not be less than $1,500,000; for the twelve months ending December 31, 2025, EBITDA shall not be less than $2,800,000. For the rolling twelve-month period ending March 31, 2025, the Company is required to achieve a Fixed Charge Coverage Ratio of 1.05x. Beginning with the rolling twelve-month period ending June 30, 2025, and going forward the required Fixed Charge Coverage Ratio is 1.25x. All other covenants remain unchanged. Additionally, this amendment increased the Term Loan by approximately $1,000,000 to $5,700,000, with monthly principal installments in the amount of $68,000. In connection with these changes, the Company paid an amendment fee of $20,000.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January 30, 2025, the Company entered into an Eighth Amendment to provide for an additional Term Loan in the amount of $1,640,000 for the acquisition of additional equipment. The monthly principal installments on this additional Term Loan are $19,524. This amendment further revised the Financial Covenants. For the rolling twelve-month period ending March 31, 2025 and June 30, 2025, the Company is required to achieve a Fixed Charge Coverage Ratio of 1.05x. Beginning with the rolling twelve-month period ending September 30, 2025 and going forward, the required Fixed Charge Coverage Ratio is 1.25x. Additionally, the Company is allowed to pay off up to $4,800,000 of related party notes with funds raised in the Company’s At The Market debt offering. All other covenants remain unchanged. In connection with these changes, the Company paid an amendment fee of $20,000.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10, 2025, the Company entered into a Ninth Amendment where it agreed that $3,930,000 of the proceeds from its ATM Offering would be maintained in an interest bearing account. The funds in this account serve as additional security for its obligations under the Current Credit Facility. Additionally, this amendment waived the default as June 30, 2025.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The Company paid an amendment fee of $40,000.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February 26, 2026, the Company entered into an Eleventh Amendment which extended the maturity date of the revolving credit and term loans to September 30, 2026. The Company paid an amendment fee of $25,000.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at any time, Webster Bank could choose to exercise additional rights, that it has as a result of the Company’s defaults under the Current Credit Facility. For example, it could increase the rate of interest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we agreed to put $3,930,000 of ATM proceeds in an interest bearing account to serve as additional security for the Company’s obligations under the Current Credit Facility. We remain in constructive discussions with Webster Bank regarding potential extension of these obligations but there can be no assurance that an agreement will be reached.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has borrowing capacity of approximately $2,382,000 under the Revolving Loan.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Solar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2024, the Company entered into a financing agreement (“Solar Credit Facility”) with CT Green Bank, a quasi-public agency of the State of Connecticut, for the installation of solar energy systems including replacing the existing roof (“Project”) at its Sterling facility. The Solar Credit Facility provided for advances to be made by CT Green Bank upon its approval of costs incurred on the Project up to $934,000. As of October 1, 2025, cumulative advances totaling $934,000 had been made including the payment of CT Green Bank’s closing costs of $25,000. Total interest accrued on the advances at the rate of 5% was $36,000.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commenced on July 1, 2025. The first semi-annual payment was for interest only, subsequent semi-annual payments beginning with the payment due on January 1, 2026 will include both principal and interest. As of December 31, 2025, the amount classified as long term is $943,000 and the amount classified as current is $28,000.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related to the Solar Credit Facility amounted to approximately $57,000 and $44,000 for the years ended December 31, 2025 and 2024,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Lease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finance leases for the purchase of manufacturing equipment. The obligations for the finance leases totaled $784,000 and $1,007,000 as of December 31, 2025 and 2024, respectively. The leases have an average imputed interest rate of 7.43% per annum and are payable monthly with the final payments due between September of 2026 and May of 2030. Interest expense related to the finance leases amounted to approximately $66,000 and $73,000 for the years ended December 31, 2025 and 2024, respectively</w:t>
      </w:r>
    </w:p>
    <w:tbl>
      <w:tblPr>
        <w:tblW w:w="10205" w:type="dxa"/>
        <w:jc w:val="left"/>
        <w:tblInd w:w="0" w:type="dxa"/>
        <w:tblLayout w:type="fixed"/>
        <w:tblCellMar>
          <w:top w:w="0" w:type="dxa"/>
          <w:left w:w="0" w:type="dxa"/>
          <w:bottom w:w="0" w:type="dxa"/>
          <w:right w:w="0" w:type="dxa"/>
        </w:tblCellMar>
      </w:tblPr>
      <w:tblGrid>
        <w:gridCol w:w="6603"/>
        <w:gridCol w:w="146"/>
        <w:gridCol w:w="377"/>
        <w:gridCol w:w="1254"/>
        <w:gridCol w:w="146"/>
        <w:gridCol w:w="375"/>
        <w:gridCol w:w="1304"/>
      </w:tblGrid>
      <w:tr>
        <w:trPr/>
        <w:tc>
          <w:tcPr>
            <w:tcW w:w="6603"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5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p>
        </w:tc>
      </w:tr>
      <w:tr>
        <w:trPr/>
        <w:tc>
          <w:tcPr>
            <w:tcW w:w="660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cost:</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660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ROU assets</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197,000</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176,000</w:t>
            </w:r>
          </w:p>
        </w:tc>
      </w:tr>
      <w:tr>
        <w:trPr/>
        <w:tc>
          <w:tcPr>
            <w:tcW w:w="660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lease liabilities</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66,000</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Costs</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263,000</w:t>
            </w:r>
          </w:p>
        </w:tc>
        <w:tc>
          <w:tcPr>
            <w:tcW w:w="146" w:type="dxa"/>
            <w:tcBorders/>
            <w:vAlign w:val="bottom"/>
          </w:tcPr>
          <w:p>
            <w:pPr>
              <w:pStyle w:val="TableContents"/>
              <w:bidi w:val="0"/>
              <w:spacing w:before="0" w:after="283"/>
              <w:jc w:val="left"/>
              <w:rPr/>
            </w:pPr>
            <w:r>
              <w:rPr/>
              <w:t> </w:t>
            </w:r>
          </w:p>
        </w:tc>
        <w:tc>
          <w:tcPr>
            <w:tcW w:w="3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249,000</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66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liabilities:</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r>
      <w:tr>
        <w:trPr/>
        <w:tc>
          <w:tcPr>
            <w:tcW w:w="660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cash flow from finance lease obligations</w:t>
            </w:r>
          </w:p>
        </w:tc>
        <w:tc>
          <w:tcPr>
            <w:tcW w:w="146" w:type="dxa"/>
            <w:tcBorders/>
            <w:shd w:fill="CCEEFF" w:val="clear"/>
            <w:vAlign w:val="bottom"/>
          </w:tcPr>
          <w:p>
            <w:pPr>
              <w:pStyle w:val="TableContents"/>
              <w:bidi w:val="0"/>
              <w:spacing w:before="0" w:after="283"/>
              <w:jc w:val="left"/>
              <w:rPr/>
            </w:pPr>
            <w:r>
              <w:rPr/>
              <w:t> </w:t>
            </w:r>
          </w:p>
        </w:tc>
        <w:tc>
          <w:tcPr>
            <w:tcW w:w="3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223,000</w:t>
            </w:r>
          </w:p>
        </w:tc>
        <w:tc>
          <w:tcPr>
            <w:tcW w:w="146" w:type="dxa"/>
            <w:tcBorders/>
            <w:shd w:fill="CCEEFF" w:val="clear"/>
            <w:vAlign w:val="bottom"/>
          </w:tcPr>
          <w:p>
            <w:pPr>
              <w:pStyle w:val="TableContents"/>
              <w:bidi w:val="0"/>
              <w:spacing w:before="0" w:after="283"/>
              <w:jc w:val="left"/>
              <w:rPr/>
            </w:pPr>
            <w:r>
              <w:rPr/>
              <w:t> </w:t>
            </w:r>
          </w:p>
        </w:tc>
        <w:tc>
          <w:tcPr>
            <w:tcW w:w="37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196,000</w:t>
            </w:r>
          </w:p>
        </w:tc>
      </w:tr>
      <w:tr>
        <w:trPr/>
        <w:tc>
          <w:tcPr>
            <w:tcW w:w="66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r>
      <w:tr>
        <w:trPr/>
        <w:tc>
          <w:tcPr>
            <w:tcW w:w="66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activity</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660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 lease asset</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tbl>
      <w:tblPr>
        <w:tblW w:w="8843" w:type="dxa"/>
        <w:jc w:val="left"/>
        <w:tblInd w:w="0" w:type="dxa"/>
        <w:tblLayout w:type="fixed"/>
        <w:tblCellMar>
          <w:top w:w="0" w:type="dxa"/>
          <w:left w:w="0" w:type="dxa"/>
          <w:bottom w:w="0" w:type="dxa"/>
          <w:right w:w="0" w:type="dxa"/>
        </w:tblCellMar>
      </w:tblPr>
      <w:tblGrid>
        <w:gridCol w:w="5236"/>
        <w:gridCol w:w="146"/>
        <w:gridCol w:w="1027"/>
        <w:gridCol w:w="608"/>
        <w:gridCol w:w="146"/>
        <w:gridCol w:w="1007"/>
        <w:gridCol w:w="673"/>
      </w:tblGrid>
      <w:tr>
        <w:trPr/>
        <w:tc>
          <w:tcPr>
            <w:tcW w:w="5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6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6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6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w:t>
            </w:r>
          </w:p>
        </w:tc>
        <w:tc>
          <w:tcPr>
            <w:tcW w:w="6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aggregate future minimum finance lease payment, including imputed interest are as follows:</w:t>
      </w:r>
    </w:p>
    <w:tbl>
      <w:tblPr>
        <w:tblW w:w="6390" w:type="dxa"/>
        <w:jc w:val="left"/>
        <w:tblInd w:w="0" w:type="dxa"/>
        <w:tblLayout w:type="fixed"/>
        <w:tblCellMar>
          <w:top w:w="0" w:type="dxa"/>
          <w:left w:w="0" w:type="dxa"/>
          <w:bottom w:w="0" w:type="dxa"/>
          <w:right w:w="0" w:type="dxa"/>
        </w:tblCellMar>
      </w:tblPr>
      <w:tblGrid>
        <w:gridCol w:w="4651"/>
        <w:gridCol w:w="146"/>
        <w:gridCol w:w="286"/>
        <w:gridCol w:w="1021"/>
        <w:gridCol w:w="286"/>
      </w:tblGrid>
      <w:tr>
        <w:trPr/>
        <w:tc>
          <w:tcPr>
            <w:tcW w:w="4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finance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Loans Payable — Financed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financed the purchase of a delivery vehicle in July 2020. The loan obligation totaled $5,000 and $14,000 as of December 31, 2025 and 2024, respectively. The loan bears no interest and a final payment is due and payable for all unpaid principal on July 20,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maturities of this loan are as follows:</w:t>
      </w:r>
    </w:p>
    <w:tbl>
      <w:tblPr>
        <w:tblW w:w="4770" w:type="dxa"/>
        <w:jc w:val="left"/>
        <w:tblInd w:w="0" w:type="dxa"/>
        <w:tblLayout w:type="fixed"/>
        <w:tblCellMar>
          <w:top w:w="0" w:type="dxa"/>
          <w:left w:w="0" w:type="dxa"/>
          <w:bottom w:w="0" w:type="dxa"/>
          <w:right w:w="0" w:type="dxa"/>
        </w:tblCellMar>
      </w:tblPr>
      <w:tblGrid>
        <w:gridCol w:w="3271"/>
        <w:gridCol w:w="146"/>
        <w:gridCol w:w="286"/>
        <w:gridCol w:w="781"/>
        <w:gridCol w:w="286"/>
      </w:tblGrid>
      <w:tr>
        <w:trPr/>
        <w:tc>
          <w:tcPr>
            <w:tcW w:w="3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is a corporation co-founded by two directors of the Company, Michael and Robert Taglich.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issuance of the Related Party Notes, Michael and Robert Taglich were issued a total of 35,508 shares of common stock and Taglich Brothers, Inc. was issued promissory notes totaling $554,000 for placement agency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Eighth Amendment to the Current Credit Facility, the Company was allowed to make principal payments of up to $4,800,000 prior to June 30, 2025, with funds raised in the Company’s ATM Offering. The Company paid a total of $1,291,000 of principal payments. Of the $1,291,000 paid, $1,050,000 was paid to Michael Taglich and $241,000 was paid to Taglich Brothers,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December 31, 2025 consists of:</w:t>
      </w:r>
    </w:p>
    <w:tbl>
      <w:tblPr>
        <w:tblW w:w="9276" w:type="dxa"/>
        <w:jc w:val="left"/>
        <w:tblInd w:w="0" w:type="dxa"/>
        <w:tblLayout w:type="fixed"/>
        <w:tblCellMar>
          <w:top w:w="0" w:type="dxa"/>
          <w:left w:w="0" w:type="dxa"/>
          <w:bottom w:w="0" w:type="dxa"/>
          <w:right w:w="0" w:type="dxa"/>
        </w:tblCellMar>
      </w:tblPr>
      <w:tblGrid>
        <w:gridCol w:w="3226"/>
        <w:gridCol w:w="146"/>
        <w:gridCol w:w="286"/>
        <w:gridCol w:w="1126"/>
        <w:gridCol w:w="146"/>
        <w:gridCol w:w="286"/>
        <w:gridCol w:w="1126"/>
        <w:gridCol w:w="146"/>
        <w:gridCol w:w="536"/>
        <w:gridCol w:w="649"/>
        <w:gridCol w:w="146"/>
        <w:gridCol w:w="286"/>
        <w:gridCol w:w="1171"/>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w:t>
              <w:br/>
              <w:t xml:space="preserve">Taglich, </w:t>
              <w:br/>
              <w:t>Director</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w:t>
              <w:br/>
              <w:t xml:space="preserve">Taglich, </w:t>
              <w:br/>
              <w:t>Director</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 xml:space="preserve">Brothers, </w:t>
              <w:br/>
              <w:t>Inc.</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4,321,000</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bottom"/>
          </w:tcPr>
          <w:p>
            <w:pPr>
              <w:pStyle w:val="TableContents"/>
              <w:bidi w:val="0"/>
              <w:spacing w:before="0" w:after="283"/>
              <w:jc w:val="left"/>
              <w:rPr/>
            </w:pPr>
            <w:r>
              <w:rPr/>
              <w:t> </w:t>
            </w:r>
          </w:p>
        </w:tc>
        <w:tc>
          <w:tcPr>
            <w:tcW w:w="5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r>
      <w:tr>
        <w:trPr/>
        <w:tc>
          <w:tcPr>
            <w:tcW w:w="3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bottom"/>
          </w:tcPr>
          <w:p>
            <w:pPr>
              <w:pStyle w:val="TableContents"/>
              <w:bidi w:val="0"/>
              <w:spacing w:before="0" w:after="283"/>
              <w:jc w:val="left"/>
              <w:rPr/>
            </w:pPr>
            <w:r>
              <w:rPr/>
              <w:t> </w:t>
            </w:r>
          </w:p>
        </w:tc>
        <w:tc>
          <w:tcPr>
            <w:tcW w:w="5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December 31, 2024 consist of:</w:t>
      </w:r>
    </w:p>
    <w:tbl>
      <w:tblPr>
        <w:tblW w:w="9323" w:type="dxa"/>
        <w:jc w:val="left"/>
        <w:tblInd w:w="0" w:type="dxa"/>
        <w:tblLayout w:type="fixed"/>
        <w:tblCellMar>
          <w:top w:w="0" w:type="dxa"/>
          <w:left w:w="0" w:type="dxa"/>
          <w:bottom w:w="0" w:type="dxa"/>
          <w:right w:w="0" w:type="dxa"/>
        </w:tblCellMar>
      </w:tblPr>
      <w:tblGrid>
        <w:gridCol w:w="3226"/>
        <w:gridCol w:w="146"/>
        <w:gridCol w:w="286"/>
        <w:gridCol w:w="1126"/>
        <w:gridCol w:w="146"/>
        <w:gridCol w:w="286"/>
        <w:gridCol w:w="1126"/>
        <w:gridCol w:w="146"/>
        <w:gridCol w:w="286"/>
        <w:gridCol w:w="946"/>
        <w:gridCol w:w="146"/>
        <w:gridCol w:w="286"/>
        <w:gridCol w:w="1171"/>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w:t>
              <w:br/>
              <w:t xml:space="preserve">Taglich, </w:t>
              <w:br/>
              <w:t>Director</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w:t>
              <w:br/>
              <w:t xml:space="preserve">Taglich, </w:t>
              <w:br/>
              <w:t>Director</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 xml:space="preserve">Brothers, </w:t>
              <w:br/>
              <w:t>Inc.</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2,666,000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4,812,000</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r>
      <w:tr>
        <w:trPr/>
        <w:tc>
          <w:tcPr>
            <w:tcW w:w="3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3,466,000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$4,871,000, approximately $2,519,000 bears an annual rate of interest of 6%, $1,802,000 bears an annual rate of 7% and $550,000 bears an annual interest rate of 12%. Interest expense for the years ended December 31, 2025 and 2024 was $356,000 and $472,000,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 remaining $550,000 is not convertible.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the holders of the Related Party Notes extended the maturity date to October 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are subordinate to outstanding debt pursuant to the Current Credit Facility and mature on October 1, 2026. There are no principal payments due on these notes prior to October 1,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OPERATING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operating leases for leased office and manufacturing facilities. The leases have remaining lease terms of one to five years, some of which include options to extend or terminate the leases.</w:t>
      </w:r>
    </w:p>
    <w:tbl>
      <w:tblPr>
        <w:tblW w:w="10205" w:type="dxa"/>
        <w:jc w:val="left"/>
        <w:tblInd w:w="0" w:type="dxa"/>
        <w:tblLayout w:type="fixed"/>
        <w:tblCellMar>
          <w:top w:w="0" w:type="dxa"/>
          <w:left w:w="0" w:type="dxa"/>
          <w:bottom w:w="0" w:type="dxa"/>
          <w:right w:w="0" w:type="dxa"/>
        </w:tblCellMar>
      </w:tblPr>
      <w:tblGrid>
        <w:gridCol w:w="6599"/>
        <w:gridCol w:w="146"/>
        <w:gridCol w:w="330"/>
        <w:gridCol w:w="1303"/>
        <w:gridCol w:w="146"/>
        <w:gridCol w:w="328"/>
        <w:gridCol w:w="1353"/>
      </w:tblGrid>
      <w:tr>
        <w:trPr/>
        <w:tc>
          <w:tcPr>
            <w:tcW w:w="659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p>
        </w:tc>
      </w:tr>
      <w:tr>
        <w:trPr/>
        <w:tc>
          <w:tcPr>
            <w:tcW w:w="659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5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1,044,000</w:t>
            </w:r>
          </w:p>
        </w:tc>
        <w:tc>
          <w:tcPr>
            <w:tcW w:w="146" w:type="dxa"/>
            <w:tcBorders/>
            <w:shd w:fill="CCEEFF" w:val="clear"/>
            <w:vAlign w:val="bottom"/>
          </w:tcPr>
          <w:p>
            <w:pPr>
              <w:pStyle w:val="TableContents"/>
              <w:bidi w:val="0"/>
              <w:spacing w:before="0" w:after="283"/>
              <w:jc w:val="left"/>
              <w:rPr/>
            </w:pPr>
            <w:r>
              <w:rPr/>
              <w:t> </w:t>
            </w:r>
          </w:p>
        </w:tc>
        <w:tc>
          <w:tcPr>
            <w:tcW w:w="3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1,286,000</w:t>
            </w:r>
          </w:p>
        </w:tc>
      </w:tr>
      <w:tr>
        <w:trPr/>
        <w:tc>
          <w:tcPr>
            <w:tcW w:w="6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3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1,044,000</w:t>
            </w:r>
          </w:p>
        </w:tc>
        <w:tc>
          <w:tcPr>
            <w:tcW w:w="146" w:type="dxa"/>
            <w:tcBorders/>
            <w:vAlign w:val="bottom"/>
          </w:tcPr>
          <w:p>
            <w:pPr>
              <w:pStyle w:val="TableContents"/>
              <w:bidi w:val="0"/>
              <w:spacing w:before="0" w:after="283"/>
              <w:jc w:val="left"/>
              <w:rPr/>
            </w:pPr>
            <w:r>
              <w:rPr/>
              <w:t> </w:t>
            </w:r>
          </w:p>
        </w:tc>
        <w:tc>
          <w:tcPr>
            <w:tcW w:w="3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1,286,000</w:t>
            </w:r>
          </w:p>
        </w:tc>
      </w:tr>
      <w:tr>
        <w:trPr/>
        <w:tc>
          <w:tcPr>
            <w:tcW w:w="65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3"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3" w:type="dxa"/>
            <w:tcBorders/>
            <w:vAlign w:val="bottom"/>
          </w:tcPr>
          <w:p>
            <w:pPr>
              <w:pStyle w:val="TableContents"/>
              <w:bidi w:val="0"/>
              <w:spacing w:before="0" w:after="283"/>
              <w:jc w:val="left"/>
              <w:rPr/>
            </w:pPr>
            <w:r>
              <w:rPr/>
              <w:t> </w:t>
            </w:r>
          </w:p>
        </w:tc>
      </w:tr>
      <w:tr>
        <w:trPr/>
        <w:tc>
          <w:tcPr>
            <w:tcW w:w="65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liability:</w:t>
            </w:r>
          </w:p>
        </w:tc>
        <w:tc>
          <w:tcPr>
            <w:tcW w:w="146" w:type="dxa"/>
            <w:tcBorders/>
            <w:shd w:fill="CCEEFF" w:val="clear"/>
            <w:vAlign w:val="bottom"/>
          </w:tcPr>
          <w:p>
            <w:pPr>
              <w:pStyle w:val="TableContents"/>
              <w:bidi w:val="0"/>
              <w:spacing w:before="0" w:after="283"/>
              <w:jc w:val="left"/>
              <w:rPr/>
            </w:pPr>
            <w:r>
              <w:rPr/>
              <w:t> </w:t>
            </w:r>
          </w:p>
        </w:tc>
        <w:tc>
          <w:tcPr>
            <w:tcW w:w="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1,249,000</w:t>
            </w:r>
          </w:p>
        </w:tc>
        <w:tc>
          <w:tcPr>
            <w:tcW w:w="146" w:type="dxa"/>
            <w:tcBorders/>
            <w:shd w:fill="CCEEFF" w:val="clear"/>
            <w:vAlign w:val="bottom"/>
          </w:tcPr>
          <w:p>
            <w:pPr>
              <w:pStyle w:val="TableContents"/>
              <w:bidi w:val="0"/>
              <w:spacing w:before="0" w:after="283"/>
              <w:jc w:val="left"/>
              <w:rPr/>
            </w:pPr>
            <w:r>
              <w:rPr/>
              <w:t> </w:t>
            </w:r>
          </w:p>
        </w:tc>
        <w:tc>
          <w:tcPr>
            <w:tcW w:w="3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1,070,000</w:t>
            </w:r>
          </w:p>
        </w:tc>
      </w:tr>
      <w:tr>
        <w:trPr/>
        <w:tc>
          <w:tcPr>
            <w:tcW w:w="659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 from operating leases</w:t>
            </w:r>
          </w:p>
        </w:tc>
        <w:tc>
          <w:tcPr>
            <w:tcW w:w="146" w:type="dxa"/>
            <w:tcBorders/>
            <w:vAlign w:val="bottom"/>
          </w:tcPr>
          <w:p>
            <w:pPr>
              <w:pStyle w:val="TableContents"/>
              <w:bidi w:val="0"/>
              <w:spacing w:before="0" w:after="283"/>
              <w:jc w:val="left"/>
              <w:rPr/>
            </w:pPr>
            <w:r>
              <w:rPr/>
              <w:t> </w:t>
            </w:r>
          </w:p>
        </w:tc>
        <w:tc>
          <w:tcPr>
            <w:tcW w:w="3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1,249,000</w:t>
            </w:r>
          </w:p>
        </w:tc>
        <w:tc>
          <w:tcPr>
            <w:tcW w:w="146" w:type="dxa"/>
            <w:tcBorders/>
            <w:vAlign w:val="bottom"/>
          </w:tcPr>
          <w:p>
            <w:pPr>
              <w:pStyle w:val="TableContents"/>
              <w:bidi w:val="0"/>
              <w:spacing w:before="0" w:after="283"/>
              <w:jc w:val="left"/>
              <w:rPr/>
            </w:pPr>
            <w:r>
              <w:rPr/>
              <w:t> </w:t>
            </w:r>
          </w:p>
        </w:tc>
        <w:tc>
          <w:tcPr>
            <w:tcW w:w="3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1,070,000</w:t>
            </w:r>
          </w:p>
        </w:tc>
      </w:tr>
    </w:tbl>
    <w:tbl>
      <w:tblPr>
        <w:tblW w:w="8843" w:type="dxa"/>
        <w:jc w:val="left"/>
        <w:tblInd w:w="0" w:type="dxa"/>
        <w:tblLayout w:type="fixed"/>
        <w:tblCellMar>
          <w:top w:w="0" w:type="dxa"/>
          <w:left w:w="0" w:type="dxa"/>
          <w:bottom w:w="0" w:type="dxa"/>
          <w:right w:w="0" w:type="dxa"/>
        </w:tblCellMar>
      </w:tblPr>
      <w:tblGrid>
        <w:gridCol w:w="5236"/>
        <w:gridCol w:w="146"/>
        <w:gridCol w:w="1027"/>
        <w:gridCol w:w="608"/>
        <w:gridCol w:w="146"/>
        <w:gridCol w:w="1007"/>
        <w:gridCol w:w="673"/>
      </w:tblGrid>
      <w:tr>
        <w:trPr/>
        <w:tc>
          <w:tcPr>
            <w:tcW w:w="5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0.75</w:t>
            </w:r>
          </w:p>
        </w:tc>
        <w:tc>
          <w:tcPr>
            <w:tcW w:w="6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6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6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w:t>
            </w:r>
          </w:p>
        </w:tc>
        <w:tc>
          <w:tcPr>
            <w:tcW w:w="6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OPERATING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undiscounted cash flows of operating lease payments, with remaining terms greater than one year are as follows:</w:t>
      </w:r>
    </w:p>
    <w:tbl>
      <w:tblPr>
        <w:tblW w:w="7005" w:type="dxa"/>
        <w:jc w:val="left"/>
        <w:tblInd w:w="0" w:type="dxa"/>
        <w:tblLayout w:type="fixed"/>
        <w:tblCellMar>
          <w:top w:w="0" w:type="dxa"/>
          <w:left w:w="0" w:type="dxa"/>
          <w:bottom w:w="0" w:type="dxa"/>
          <w:right w:w="0" w:type="dxa"/>
        </w:tblCellMar>
      </w:tblPr>
      <w:tblGrid>
        <w:gridCol w:w="5266"/>
        <w:gridCol w:w="146"/>
        <w:gridCol w:w="286"/>
        <w:gridCol w:w="1021"/>
        <w:gridCol w:w="286"/>
      </w:tblGrid>
      <w:tr>
        <w:trPr/>
        <w:tc>
          <w:tcPr>
            <w:tcW w:w="52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maturities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 term portion of operating lease maturities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STOCKHOLDERS’ EQUITY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Issuances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30,699 and 39,845 shares of common stock totaling $108,000 and $157,000 in payment of Director’s fees for the years ended December 31, 2025 and 2024, respectively. Such expense is included in Operating Expenses in the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2025, the Company issued 57,192 shares of common stock upon the vesting of Restricted Stock Units (“RSUs”) to certain employees. The balance of the units vested were withheld to satisfy the withholding tax required to be paid on the 95,210 Restricted Share Units which vested.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issuances of common stock due to the exercise of stock options for year ended December 31, 2025. The Company issued 15,229 shares, of common stock to net settle the exercise of stock options for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quarter of 2026, the Company issued 4,600 shares of common stock in payment of Director’s fees totaling $14,000.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Sale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At The Market offering, the Company sold and issued 1,213,593 and 116,851 shares during the years ended December 31, 2025 and 2024, respectively, pursuant to a Registration Statement on Form S-3 declared effective on December 19, 2024. The gross proceeds for the years ended December 31, 2025 and 2024 were $4,866,000 and $509,000, respectively. Costs associated with sales for the years ended December 31, 2025 and 2024 were $228,000 and $182,000.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EMPLOYEE BENEFITS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employs both union and non-union employees and maintains several benefit plans.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AIM subsidiary has a collective bargaining agreement with the United Service Workers, IUJAT, Local 355 (the “Union”). This agreement is effective until December 31, 2027 and covers the majority of AIM’s 125 personnel. The Company is not required to make a monthly contribution to Union’s United Welfare Fund and the United Services Worker’s Security Fund, the sole pension benefit for covered employees. The Company is not obligated to provide any future defined benefits. The Company is obligated to make contributions for union dues and a security fund (defined contribution plan) for the benefit of each union employee. Contributions to the security fund amounted to $146,000 and $145,000 for the years ended December 31, 2025 and 2024, respectively. The Union’s retirement plan is a defined contribution plan. As such, the Company is not responsible for the obligations of other companies in the Union’s retirement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EMPLOYEE BENEFITS PLANS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Medical benefits for union employees are provided through a policy with Insperity Services, Inc. (“Insperity”), a professional employer organization that provides out-sourced human resource services. The cost of such benefits are substantially borne by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collective bargaining agreement contains a “no-strike” clause and a “no-lock-out” clause. The Company believes it maintains good relationships with the Union.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Company’s employees are covered under a co-employment agreement with Insperity, a professional employer organization that provides out-sourced human resource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defined contribution plans under Section 401(k) of the Internal Revenue Code (the “Plans”). Pursuant to the Plans, qualified employees may contribute a percentage of their pre-tax eligible compensation to the Plan. The Company does not match any contributions that employees may make to the Plans.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There are no proceedings in which any of the Company’s directors, officers or affiliates, or any registered or beneficial stockholder of its common stock, is an adverse party or has a material interest adverse to our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reporting purposes, the net pre-tax book loss for the United States and foreign entities, in the aggregate, was:</w:t>
      </w:r>
    </w:p>
    <w:tbl>
      <w:tblPr>
        <w:tblW w:w="4634" w:type="dxa"/>
        <w:jc w:val="left"/>
        <w:tblInd w:w="0" w:type="dxa"/>
        <w:tblLayout w:type="fixed"/>
        <w:tblCellMar>
          <w:top w:w="0" w:type="dxa"/>
          <w:left w:w="0" w:type="dxa"/>
          <w:bottom w:w="0" w:type="dxa"/>
          <w:right w:w="0" w:type="dxa"/>
        </w:tblCellMar>
      </w:tblPr>
      <w:tblGrid>
        <w:gridCol w:w="841"/>
        <w:gridCol w:w="146"/>
        <w:gridCol w:w="286"/>
        <w:gridCol w:w="1201"/>
        <w:gridCol w:w="241"/>
        <w:gridCol w:w="146"/>
        <w:gridCol w:w="286"/>
        <w:gridCol w:w="1201"/>
        <w:gridCol w:w="286"/>
      </w:tblGrid>
      <w:tr>
        <w:trPr/>
        <w:tc>
          <w:tcPr>
            <w:tcW w:w="8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(benefit from) income taxes for the years ended December 31, 2025 and 2024, is set forth below:</w:t>
      </w:r>
    </w:p>
    <w:tbl>
      <w:tblPr>
        <w:tblW w:w="6938" w:type="dxa"/>
        <w:jc w:val="left"/>
        <w:tblInd w:w="0" w:type="dxa"/>
        <w:tblLayout w:type="fixed"/>
        <w:tblCellMar>
          <w:top w:w="0" w:type="dxa"/>
          <w:left w:w="0" w:type="dxa"/>
          <w:bottom w:w="0" w:type="dxa"/>
          <w:right w:w="0" w:type="dxa"/>
        </w:tblCellMar>
      </w:tblPr>
      <w:tblGrid>
        <w:gridCol w:w="3331"/>
        <w:gridCol w:w="146"/>
        <w:gridCol w:w="302"/>
        <w:gridCol w:w="1078"/>
        <w:gridCol w:w="255"/>
        <w:gridCol w:w="146"/>
        <w:gridCol w:w="709"/>
        <w:gridCol w:w="971"/>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w:t>
            </w:r>
          </w:p>
        </w:tc>
        <w:tc>
          <w:tcPr>
            <w:tcW w:w="146" w:type="dxa"/>
            <w:tcBorders/>
            <w:vAlign w:val="bottom"/>
          </w:tcPr>
          <w:p>
            <w:pPr>
              <w:pStyle w:val="TableContents"/>
              <w:bidi w:val="0"/>
              <w:spacing w:before="0" w:after="283"/>
              <w:jc w:val="left"/>
              <w:rPr/>
            </w:pPr>
            <w:r>
              <w:rPr/>
              <w:t> </w:t>
            </w:r>
          </w:p>
        </w:tc>
        <w:tc>
          <w:tcPr>
            <w:tcW w:w="16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right"/>
              <w:rPr/>
            </w:pPr>
            <w:r>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Provision for Income Taxes</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reconciliation of our effective tax rate on income and the statutory rate for the year ended December 31, 2025:</w:t>
      </w:r>
    </w:p>
    <w:tbl>
      <w:tblPr>
        <w:tblW w:w="10120" w:type="dxa"/>
        <w:jc w:val="left"/>
        <w:tblInd w:w="0" w:type="dxa"/>
        <w:tblLayout w:type="fixed"/>
        <w:tblCellMar>
          <w:top w:w="0" w:type="dxa"/>
          <w:left w:w="0" w:type="dxa"/>
          <w:bottom w:w="0" w:type="dxa"/>
          <w:right w:w="0" w:type="dxa"/>
        </w:tblCellMar>
      </w:tblPr>
      <w:tblGrid>
        <w:gridCol w:w="7141"/>
        <w:gridCol w:w="146"/>
        <w:gridCol w:w="302"/>
        <w:gridCol w:w="1078"/>
        <w:gridCol w:w="255"/>
        <w:gridCol w:w="146"/>
        <w:gridCol w:w="661"/>
        <w:gridCol w:w="391"/>
      </w:tblGrid>
      <w:tr>
        <w:trPr/>
        <w:tc>
          <w:tcPr>
            <w:tcW w:w="7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left"/>
              <w:rPr/>
            </w:pPr>
            <w:r>
              <w:rPr/>
              <w:t> </w:t>
            </w:r>
          </w:p>
        </w:tc>
      </w:tr>
      <w:tr>
        <w:trPr/>
        <w:tc>
          <w:tcPr>
            <w:tcW w:w="7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tax at U.S statutory rate</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(301,000</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and local taxes, net of federal taxes(a)</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154,000</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 taxable items</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vAlign w:val="bottom"/>
          </w:tcPr>
          <w:p>
            <w:pPr>
              <w:pStyle w:val="TableContents"/>
              <w:bidi w:val="0"/>
              <w:spacing w:before="0" w:after="283"/>
              <w:jc w:val="left"/>
              <w:rPr/>
            </w:pPr>
            <w:r>
              <w:rPr/>
              <w:t> </w:t>
            </w:r>
          </w:p>
        </w:tc>
        <w:tc>
          <w:tcPr>
            <w:tcW w:w="25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31,000</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Adjustments</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vAlign w:val="bottom"/>
          </w:tcPr>
          <w:p>
            <w:pPr>
              <w:pStyle w:val="TableContents"/>
              <w:bidi w:val="0"/>
              <w:spacing w:before="0" w:after="283"/>
              <w:jc w:val="left"/>
              <w:rPr/>
            </w:pPr>
            <w:r>
              <w:rPr/>
              <w:t> </w:t>
            </w:r>
          </w:p>
        </w:tc>
        <w:tc>
          <w:tcPr>
            <w:tcW w:w="25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Adjustment – Asset Write-Down Related to Transferable Credit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115,000</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True-up and Other</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Transferable Credit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For the year ended December 31, 2025, state taxes in California and New York made up the majority (greater than 50% of the tax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rate reconciliation above has been adjusted to be presented in compliance with the guidance under ASU No. 2023-09. The Company has adopted this guidance on a prospective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for the year ended December 31, 2024, prior to the adoption of ASU No. 2023-09, the following is a reconciliation of our income tax rate computed using the federal statutory rate to our actual income tax 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INCOME TAXES </w:t>
      </w:r>
      <w:r>
        <w:rPr>
          <w:rFonts w:ascii="Times New Roman PS Std;serif" w:hAnsi="Times New Roman PS Std;serif"/>
          <w:b w:val="false"/>
          <w:i w:val="false"/>
          <w:caps w:val="false"/>
          <w:smallCaps w:val="false"/>
          <w:sz w:val="20"/>
        </w:rPr>
        <w:t>(cont.)</w:t>
      </w:r>
    </w:p>
    <w:tbl>
      <w:tblPr>
        <w:tblW w:w="7962" w:type="dxa"/>
        <w:jc w:val="left"/>
        <w:tblInd w:w="0" w:type="dxa"/>
        <w:tblLayout w:type="fixed"/>
        <w:tblCellMar>
          <w:top w:w="0" w:type="dxa"/>
          <w:left w:w="0" w:type="dxa"/>
          <w:bottom w:w="0" w:type="dxa"/>
          <w:right w:w="0" w:type="dxa"/>
        </w:tblCellMar>
      </w:tblPr>
      <w:tblGrid>
        <w:gridCol w:w="6136"/>
        <w:gridCol w:w="146"/>
        <w:gridCol w:w="1119"/>
        <w:gridCol w:w="561"/>
      </w:tblGrid>
      <w:tr>
        <w:trPr/>
        <w:tc>
          <w:tcPr>
            <w:tcW w:w="6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6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statutory income tax rate</w:t>
            </w:r>
          </w:p>
        </w:tc>
        <w:tc>
          <w:tcPr>
            <w:tcW w:w="14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5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federal benefit</w:t>
            </w:r>
          </w:p>
        </w:tc>
        <w:tc>
          <w:tcPr>
            <w:tcW w:w="146" w:type="dxa"/>
            <w:tcBorders/>
            <w:vAlign w:val="bottom"/>
          </w:tcPr>
          <w:p>
            <w:pPr>
              <w:pStyle w:val="TableContents"/>
              <w:bidi w:val="0"/>
              <w:spacing w:before="0" w:after="283"/>
              <w:jc w:val="left"/>
              <w:rPr/>
            </w:pPr>
            <w:r>
              <w:rPr/>
              <w:t> </w:t>
            </w:r>
          </w:p>
        </w:tc>
        <w:tc>
          <w:tcPr>
            <w:tcW w:w="11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Permanent difference, overaccruals,and non-deductible items</w:t>
            </w:r>
          </w:p>
        </w:tc>
        <w:tc>
          <w:tcPr>
            <w:tcW w:w="14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-0.82</w:t>
            </w:r>
          </w:p>
        </w:tc>
        <w:tc>
          <w:tcPr>
            <w:tcW w:w="5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state rate</w:t>
            </w:r>
          </w:p>
        </w:tc>
        <w:tc>
          <w:tcPr>
            <w:tcW w:w="146" w:type="dxa"/>
            <w:tcBorders/>
            <w:vAlign w:val="bottom"/>
          </w:tcPr>
          <w:p>
            <w:pPr>
              <w:pStyle w:val="TableContents"/>
              <w:bidi w:val="0"/>
              <w:spacing w:before="0" w:after="283"/>
              <w:jc w:val="left"/>
              <w:rPr/>
            </w:pPr>
            <w:r>
              <w:rPr/>
              <w:t> </w:t>
            </w:r>
          </w:p>
        </w:tc>
        <w:tc>
          <w:tcPr>
            <w:tcW w:w="11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valuation allowance</w:t>
            </w:r>
          </w:p>
        </w:tc>
        <w:tc>
          <w:tcPr>
            <w:tcW w:w="14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w:t>
            </w:r>
          </w:p>
        </w:tc>
        <w:tc>
          <w:tcPr>
            <w:tcW w:w="5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True-up and Other</w:t>
            </w:r>
          </w:p>
        </w:tc>
        <w:tc>
          <w:tcPr>
            <w:tcW w:w="146" w:type="dxa"/>
            <w:tcBorders/>
            <w:vAlign w:val="bottom"/>
          </w:tcPr>
          <w:p>
            <w:pPr>
              <w:pStyle w:val="TableContents"/>
              <w:bidi w:val="0"/>
              <w:spacing w:before="0" w:after="283"/>
              <w:jc w:val="left"/>
              <w:rPr/>
            </w:pPr>
            <w:r>
              <w:rPr/>
              <w:t> </w:t>
            </w:r>
          </w:p>
        </w:tc>
        <w:tc>
          <w:tcPr>
            <w:tcW w:w="11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c>
          <w:tcPr>
            <w:tcW w:w="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5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reflect the net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net deferred tax assets at December 31, are set forth below:</w:t>
      </w:r>
    </w:p>
    <w:tbl>
      <w:tblPr>
        <w:tblW w:w="9419" w:type="dxa"/>
        <w:jc w:val="left"/>
        <w:tblInd w:w="0" w:type="dxa"/>
        <w:tblLayout w:type="fixed"/>
        <w:tblCellMar>
          <w:top w:w="0" w:type="dxa"/>
          <w:left w:w="0" w:type="dxa"/>
          <w:bottom w:w="0" w:type="dxa"/>
          <w:right w:w="0" w:type="dxa"/>
        </w:tblCellMar>
      </w:tblPr>
      <w:tblGrid>
        <w:gridCol w:w="5686"/>
        <w:gridCol w:w="146"/>
        <w:gridCol w:w="286"/>
        <w:gridCol w:w="1141"/>
        <w:gridCol w:w="241"/>
        <w:gridCol w:w="146"/>
        <w:gridCol w:w="286"/>
        <w:gridCol w:w="1201"/>
        <w:gridCol w:w="286"/>
      </w:tblGrid>
      <w:tr>
        <w:trPr/>
        <w:tc>
          <w:tcPr>
            <w:tcW w:w="5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operation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 IRC 263A adjustment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 – options and restricted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engineering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 NTW Transaction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reserve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 of real estate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Disallowed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Charitable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 before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(8,306,000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(8,091,000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 after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charitable contributions. In accordance with ASC 740, the Company recognized the effects of the OBBBA in the period that included the enactment date. The Company continues to evaluate the ongoing effects of the OBBBA, including the interaction of the enacted provisions with its existing tax attributes and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2025 and 2024, the Company recorded a valuation allowance equal to its net deferred tax assets. The Company determined that due to a recent history of net losses, at this time sufficient uncertainty exists regarding the future realization of these deferred tax assets through future taxable income. If, in the future, the Company believes that it is more likely than not that these deferred tax benefits will be realized, the valuation allowances will be reduced or eliminated. With a full valuation allowance, any change in the deferred tax asset or liability is fully offset by a corresponding change in the valuation allowance. At December 31, 2025 and 2024, the Company provided a valuation allowance on its net deferred tax assets of $8,306,000 and $8,091,000, respectively. The Company’s valuation allowance increased by $215,000 and $188,000 for the years ended December 31, 2025 and 2024,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a Federal net operating loss carry forward of approximately $22,396,000, of which approximately $14,016,000 expires from 2033 through 2037 and $8,380,000 does not expire. In addition, the Company has net operating loss carryforwards from various states of approximately $4,492,000 which expire starting in 2035.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utilization of the Company’s net operating losses may be subject to a U.S. federal limitation due to the “change in ownership provisions” under Section 382 of the Internal Revenue Code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generated Section 48 Energy Property Tax Credits related to qualifying energy property. The Company sold these credits to an unrelated third party. The impact of the sale are reflected in the transferable credit line items outlined in the rate reconciliation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2025 and 2024, the Company had no material unrecognized tax benefits and no adjustments to liabilities or operations were required. The Company does not expect that its unrecognized tax benefits will materially increase within the next twelve months. The Company recognizes interest and penalties related to uncertain tax positions in interest expense. As of December 31, 2025, and 2024, the Company has not recorded any provisions for accrued interest and penalties related to 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cases, the Company’s uncertain tax positions are related to tax years that remain subject to examination by the relevant tax authorities. The Company files federal and state income tax returns in jurisdictions with varying statutes of limitations. The 2022 through 2025 tax years generally remain subject to examination by federal and state tax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payments made in relation to income taxes for the year ending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STOCK OPTIONS AND RESTRICTED STOCK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shareholders of the Company approved the amendment to the 2022 Equity Incentive Plan (“2022 Plan”) to increase the number of shares authorized to be used under the plan by 250,000 shares, from 650,000 shares to 900,000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2024, the shareholders of the Company approved the amendment to the 2022 Equity Incentive Plan (“2022 Plan”) to increase the number of shares authorized to be used under the plan by 300,000 shares, from 350,000 shares to 650,000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2025 and 2024, the Company granted options to purchase 60,000 and 80,000 shares of common stock, respectively, to certain of its employees and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for certain employees and members of the Company’s Board of Directors of $182,000 and $317,000 in its consolidated statements of operations for the years ended December 31, 2025 and 2024, respectively, and such amounts were included as a component of operating expenses on the consolidated statement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stock options granted were estimated using the Black-Sholes option-pricing model with the following assumptions for the years ended December 31:</w:t>
      </w:r>
    </w:p>
    <w:tbl>
      <w:tblPr>
        <w:tblW w:w="7964" w:type="dxa"/>
        <w:jc w:val="left"/>
        <w:tblInd w:w="0" w:type="dxa"/>
        <w:tblLayout w:type="fixed"/>
        <w:tblCellMar>
          <w:top w:w="0" w:type="dxa"/>
          <w:left w:w="0" w:type="dxa"/>
          <w:bottom w:w="0" w:type="dxa"/>
          <w:right w:w="0" w:type="dxa"/>
        </w:tblCellMar>
      </w:tblPr>
      <w:tblGrid>
        <w:gridCol w:w="4951"/>
        <w:gridCol w:w="146"/>
        <w:gridCol w:w="286"/>
        <w:gridCol w:w="706"/>
        <w:gridCol w:w="346"/>
        <w:gridCol w:w="146"/>
        <w:gridCol w:w="286"/>
        <w:gridCol w:w="706"/>
        <w:gridCol w:w="391"/>
      </w:tblGrid>
      <w:tr>
        <w:trPr/>
        <w:tc>
          <w:tcPr>
            <w:tcW w:w="4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life (in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grant date fair value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life is the number of years that the Company estimates, based upon history, that the options will be outstanding prior to exercise or forfeiture. Expected life is determined using the “simplified method” permitted by Staff Accounting Bulletin No. 107. In addition to the inputs referenced above regarding the option pricing model, the Company adjusts the stock-based compensation expense for estimated forfeiture rates that are revised prospectively according to forfeiture experience. The stock volatility factor is based on the Company’s experience.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stock options as of December 31, 2025 and 2024, and changes during the years then ended are presented below.</w:t>
      </w:r>
    </w:p>
    <w:tbl>
      <w:tblPr>
        <w:tblW w:w="6610" w:type="dxa"/>
        <w:jc w:val="left"/>
        <w:tblInd w:w="0" w:type="dxa"/>
        <w:tblLayout w:type="fixed"/>
        <w:tblCellMar>
          <w:top w:w="0" w:type="dxa"/>
          <w:left w:w="0" w:type="dxa"/>
          <w:bottom w:w="0" w:type="dxa"/>
          <w:right w:w="0" w:type="dxa"/>
        </w:tblCellMar>
      </w:tblPr>
      <w:tblGrid>
        <w:gridCol w:w="3766"/>
        <w:gridCol w:w="146"/>
        <w:gridCol w:w="1021"/>
        <w:gridCol w:w="241"/>
        <w:gridCol w:w="146"/>
        <w:gridCol w:w="354"/>
        <w:gridCol w:w="936"/>
      </w:tblGrid>
      <w:tr>
        <w:trPr/>
        <w:tc>
          <w:tcPr>
            <w:tcW w:w="3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r>
          </w:p>
        </w:tc>
        <w:tc>
          <w:tcPr>
            <w:tcW w:w="146"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bottom"/>
          </w:tcPr>
          <w:p>
            <w:pPr>
              <w:pStyle w:val="TableContents"/>
              <w:bidi w:val="0"/>
              <w:spacing w:before="0" w:after="283"/>
              <w:jc w:val="right"/>
              <w:rPr/>
            </w:pPr>
            <w:r>
              <w:rPr/>
              <w:t>—</w:t>
            </w:r>
          </w:p>
        </w:tc>
      </w:tr>
      <w:tr>
        <w:trPr/>
        <w:tc>
          <w:tcPr>
            <w:tcW w:w="3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r>
        <w:trPr/>
        <w:tc>
          <w:tcPr>
            <w:tcW w:w="3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6" w:type="dxa"/>
            <w:tcBorders/>
            <w:vAlign w:val="bottom"/>
          </w:tcPr>
          <w:p>
            <w:pPr>
              <w:pStyle w:val="TableContents"/>
              <w:bidi w:val="0"/>
              <w:spacing w:before="0" w:after="283"/>
              <w:jc w:val="left"/>
              <w:rPr/>
            </w:pPr>
            <w:r>
              <w:rPr/>
              <w:t> </w:t>
            </w:r>
          </w:p>
        </w:tc>
      </w:tr>
      <w:tr>
        <w:trPr/>
        <w:tc>
          <w:tcPr>
            <w:tcW w:w="3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Stock Options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Issued in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8, 2025, the Company granted to its directors’ stock options to purchase an aggregate of 60,000 shares of the Company’s common stock at a price of $3.00 per share. The options expire on November 30, 2030 and vest over a term of six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Issued in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13, 2024, the Company granted to its directors’ stock options to purchase an aggregate of 80,000 shares of the Company’s common stock at a price of $3.75 per share. The options expire on August 31, 2029 and vest over a term of one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December 31, 2025:</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186"/>
        <w:gridCol w:w="146"/>
        <w:gridCol w:w="401"/>
        <w:gridCol w:w="889"/>
      </w:tblGrid>
      <w:tr>
        <w:trPr/>
        <w:tc>
          <w:tcPr>
            <w:tcW w:w="25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Outstanding</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Wtd.Avg, </w:t>
              <w:br/>
              <w:t>Life</w:t>
            </w:r>
          </w:p>
        </w:tc>
        <w:tc>
          <w:tcPr>
            <w:tcW w:w="146"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146"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there was $35,000 of unrecognized compensation cost related to non-vested stock option awards, which is to be recognized over the remaining weighted average vesting period of 0.5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at December 31, 2025, based on the Company’s closing stock price of $4.07 was $121,000. The aggregate intrinsic value at December 31, 2024, based on the Company’s closing stock price of $3.25 was approximately $0. The aggregate intrinsic value was calculated based on the positive difference between the closing market price of the Company’s Common Stock and the exercise prices of the underlying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fair value of options granted during the years ended December 31, 2025 and 2024 was $3.75 and $3.46 per share, respectively. The total intrinsic value of options exercised during the years ended December 31, 2025 and 2024 was $20,000 and $0. The total fair value of shares vested during the years ended December 31, 2025 and 2024 was $100,000 and $417,000,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2024, the Company granted 285,628 RSUs to certain employees with a grant date fair value of $1,713,000. These Restricted Stock Units vest solely on the basis of continued service through the vesting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RSUs as of December 31, 2025 is presented below:</w:t>
      </w:r>
    </w:p>
    <w:tbl>
      <w:tblPr>
        <w:tblW w:w="6758" w:type="dxa"/>
        <w:jc w:val="left"/>
        <w:tblInd w:w="0" w:type="dxa"/>
        <w:tblLayout w:type="fixed"/>
        <w:tblCellMar>
          <w:top w:w="0" w:type="dxa"/>
          <w:left w:w="0" w:type="dxa"/>
          <w:bottom w:w="0" w:type="dxa"/>
          <w:right w:w="0" w:type="dxa"/>
        </w:tblCellMar>
      </w:tblPr>
      <w:tblGrid>
        <w:gridCol w:w="3901"/>
        <w:gridCol w:w="146"/>
        <w:gridCol w:w="1040"/>
        <w:gridCol w:w="265"/>
        <w:gridCol w:w="146"/>
        <w:gridCol w:w="392"/>
        <w:gridCol w:w="868"/>
      </w:tblGrid>
      <w:tr>
        <w:trPr/>
        <w:tc>
          <w:tcPr>
            <w:tcW w:w="39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Units</w:t>
            </w:r>
          </w:p>
        </w:tc>
        <w:tc>
          <w:tcPr>
            <w:tcW w:w="146"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Grant </w:t>
              <w:br/>
              <w:t xml:space="preserve">Date Fair </w:t>
              <w:br/>
              <w:t xml:space="preserve">Value </w:t>
              <w:br/>
              <w:t>per Unit</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January 1, 2024</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bottom"/>
          </w:tcPr>
          <w:p>
            <w:pPr>
              <w:pStyle w:val="TableContents"/>
              <w:bidi w:val="0"/>
              <w:spacing w:before="0" w:after="283"/>
              <w:jc w:val="right"/>
              <w:rPr/>
            </w:pPr>
            <w:r>
              <w:rPr/>
              <w:t>—</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shd w:fill="CCEEFF" w:val="clear"/>
            <w:vAlign w:val="bottom"/>
          </w:tcPr>
          <w:p>
            <w:pPr>
              <w:pStyle w:val="TableContents"/>
              <w:bidi w:val="0"/>
              <w:spacing w:before="0" w:after="283"/>
              <w:jc w:val="right"/>
              <w:rPr/>
            </w:pPr>
            <w:r>
              <w:rPr/>
              <w:t>—</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Terminated/Forfeited during the period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bottom"/>
          </w:tcPr>
          <w:p>
            <w:pPr>
              <w:pStyle w:val="TableContents"/>
              <w:bidi w:val="0"/>
              <w:spacing w:before="0" w:after="283"/>
              <w:jc w:val="right"/>
              <w:rPr/>
            </w:pPr>
            <w:r>
              <w:rPr/>
              <w:t>—</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December 31, 2024</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(95,210</w:t>
            </w:r>
          </w:p>
        </w:tc>
        <w:tc>
          <w:tcPr>
            <w:tcW w:w="2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Terminated/Forfeited during the period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December 31, 2025</w:t>
            </w:r>
          </w:p>
        </w:tc>
        <w:tc>
          <w:tcPr>
            <w:tcW w:w="146" w:type="dxa"/>
            <w:tcBorders/>
            <w:shd w:fill="CCEEFF" w:val="clear"/>
            <w:vAlign w:val="bottom"/>
          </w:tcPr>
          <w:p>
            <w:pPr>
              <w:pStyle w:val="TableContents"/>
              <w:bidi w:val="0"/>
              <w:spacing w:before="0" w:after="283"/>
              <w:jc w:val="left"/>
              <w:rPr/>
            </w:pPr>
            <w:r>
              <w:rPr/>
              <w:t> </w:t>
            </w:r>
          </w:p>
        </w:tc>
        <w:tc>
          <w:tcPr>
            <w:tcW w:w="10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pPr>
            <w:r>
              <w:rPr/>
              <w:t> </w:t>
            </w:r>
          </w:p>
        </w:tc>
        <w:tc>
          <w:tcPr>
            <w:tcW w:w="26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8" w:type="dxa"/>
            <w:tcBorders/>
            <w:vAlign w:val="bottom"/>
          </w:tcPr>
          <w:p>
            <w:pPr>
              <w:pStyle w:val="TableContents"/>
              <w:bidi w:val="0"/>
              <w:spacing w:before="0" w:after="283"/>
              <w:jc w:val="left"/>
              <w:rPr/>
            </w:pPr>
            <w:r>
              <w:rPr/>
              <w:t> </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Units at December 31, 2025</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bottom"/>
          </w:tcPr>
          <w:p>
            <w:pPr>
              <w:pStyle w:val="TableContents"/>
              <w:bidi w:val="0"/>
              <w:spacing w:before="0" w:after="283"/>
              <w:jc w:val="right"/>
              <w:rPr/>
            </w:pPr>
            <w:r>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quarter of 2026, the Company granted 243,172 RSUs to certain employees and directors with a grant date fair value of approximately $800,000. These RSUs vested immediately upon being awarded.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of $865,000 and $480,000 in its consolidated statements of operations for the years ended December 31, 2025 and 2024, respectively, and such amounts were included as a component of operating expenses on the consolidated statement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RSUs vested during the year ended December 31, 2025 was $318,000. All of the RSUs vested were net settled such that the Company withheld shares with a value equivalent to the employees’ obligation for the applicable income and other employment taxes, and remitted cash to the appropriate taxing authorities. The total shares withheld were 38,018 and were valued on their vesting date as determined by the Company’s closing stock price. Total payments to taxing authorities for tax obligations were $127,000.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there was $373,000 of unrecognized compensation cost related to non-vested RSUs, which is to be recognized over the remaining weighted average vesting period of 1.25 years.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SEGMENT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as one operating segment. The Company’s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expenses that are regularly provided to the CODM are disclosed in the consolidated statements of operations as a part of the consolidated net income (loss). See the consolidated financial statements for all financial information regarding the Company’s operating segment.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revenues of the Company are earned in the United States of America.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tangible assets, as well as the Company’s operating lease right-of use assets recognized on the Consolidated Balance Sheets were located in the United States.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2026, the Company filed a Current Report on Form 8-K (the “Merger 8-K”), with respect to the Agreement and Plan of Merger (the “</w:t>
      </w:r>
      <w:r>
        <w:rPr>
          <w:rFonts w:ascii="Times New Roman PS Std;serif" w:hAnsi="Times New Roman PS Std;serif"/>
          <w:b w:val="false"/>
          <w:i w:val="false"/>
          <w:caps w:val="false"/>
          <w:smallCaps w:val="false"/>
          <w:sz w:val="20"/>
          <w:u w:val="single"/>
        </w:rPr>
        <w:t>Merger Agreement</w:t>
      </w:r>
      <w:r>
        <w:rPr>
          <w:rFonts w:ascii="Times New Roman PS Std;serif" w:hAnsi="Times New Roman PS Std;serif"/>
          <w:b w:val="false"/>
          <w:i w:val="false"/>
          <w:caps w:val="false"/>
          <w:smallCaps w:val="false"/>
          <w:sz w:val="20"/>
        </w:rPr>
        <w:t>”) the Company and Transitory Air Sub LLC</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its wholly owned subsidiary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 entered into on February 16, 2026, with Tenax Aerospace Acquisition, LLC, a Delaware limited liability company (“</w:t>
      </w:r>
      <w:r>
        <w:rPr>
          <w:rFonts w:ascii="Times New Roman PS Std;serif" w:hAnsi="Times New Roman PS Std;serif"/>
          <w:b w:val="false"/>
          <w:i w:val="false"/>
          <w:caps w:val="false"/>
          <w:smallCaps w:val="false"/>
          <w:sz w:val="20"/>
          <w:u w:val="single"/>
        </w:rPr>
        <w:t>Tenax</w:t>
      </w:r>
      <w:r>
        <w:rPr>
          <w:rFonts w:ascii="Times New Roman PS Std;serif" w:hAnsi="Times New Roman PS Std;serif"/>
          <w:b w:val="false"/>
          <w:i w:val="false"/>
          <w:caps w:val="false"/>
          <w:smallCaps w:val="false"/>
          <w:sz w:val="20"/>
        </w:rPr>
        <w:t>”). Upon consummation of the Merger Agreement Tenax, will become a wholly owned Subsidiary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the Company will issue shares of its common stock (the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to the holders of the membership interests of Tenax at the Closing (the “</w:t>
      </w:r>
      <w:r>
        <w:rPr>
          <w:rFonts w:ascii="Times New Roman PS Std;serif" w:hAnsi="Times New Roman PS Std;serif"/>
          <w:b w:val="false"/>
          <w:i w:val="false"/>
          <w:caps w:val="false"/>
          <w:smallCaps w:val="false"/>
          <w:sz w:val="20"/>
          <w:u w:val="single"/>
        </w:rPr>
        <w:t>Tenax Members</w:t>
      </w:r>
      <w:r>
        <w:rPr>
          <w:rFonts w:ascii="Times New Roman PS Std;serif" w:hAnsi="Times New Roman PS Std;serif"/>
          <w:b w:val="false"/>
          <w:i w:val="false"/>
          <w:caps w:val="false"/>
          <w:smallCaps w:val="false"/>
          <w:sz w:val="20"/>
        </w:rPr>
        <w:t>”). A portion of the Merger Consideration allocated in respect of membership interests of Tenax underlying certain Tenax warrants that remain unexercised as of the Closing, if any, will be reserved by the Company for future issuance upon the exercise of such warrants. The number of shares of the Company’s common stock to be issued to the Tenax Members will be adjusted based on a calculation of AIR Net Indebtedness (as defined in the Merger Agreement). Based on the amount of AIR Net Indebtedness as of December 31, 2025, the calculation would result in the issuance of approximately 112.5 million shares of the Company’s Common Stock. Consequently, based upon the calculation of the Merger Consideration as of December 31, 2025, following the closing of the Merger, the Tenax Members will collectively own approximately 95% of the outstanding shares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16.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contemplated by the Merger Agreement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2400" w:right="0" w:firstLine="480"/>
        <w:jc w:val="left"/>
        <w:rPr>
          <w:rFonts w:ascii="Times New Roman PS Std;serif" w:hAnsi="Times New Roman PS Std;serif"/>
          <w:b w:val="false"/>
          <w:i w:val="false"/>
          <w:caps w:val="false"/>
          <w:smallCaps w:val="false"/>
          <w:sz w:val="20"/>
        </w:rPr>
      </w:pPr>
      <w:bookmarkStart w:id="102" w:name="T513"/>
      <w:bookmarkEnd w:id="102"/>
      <w:r>
        <w:rPr>
          <w:rFonts w:ascii="Times New Roman PS Std;serif" w:hAnsi="Times New Roman PS Std;serif"/>
          <w:b w:val="false"/>
          <w:i w:val="false"/>
          <w:caps w:val="false"/>
          <w:smallCaps w:val="false"/>
          <w:sz w:val="20"/>
        </w:rPr>
        <w:t>KPMG LLP</w:t>
        <w:br/>
        <w:t>Suite 1100</w:t>
        <w:br/>
        <w:t xml:space="preserve">One Jackson Place </w:t>
        <w:br/>
        <w:t>188 East Capitol Street</w:t>
        <w:br/>
        <w:t xml:space="preserve">Jackson, MS 39201-2127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Review Report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Tenax Aerospace Acquisition,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Results of Review of Consolidated Interim Financial Information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reviewed the consolidated financial statements of Tenax Aerospace Acquisition, LLC and its subsidiaries (the Company), which comprise the consolidated balance sheet as of March 31, 2026, and the related consolidated statements of income, (deficit)/equity and cash flows for the three-month periods ended March 31, 2026 and March 31, 2025, and the related notes (collectively referred to as the consolidated interim financial information).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reviews, we are not aware of any material modifications that should be made to the accompanying consolidated interim financial information for it to be in accordance with U.S. generally accepted accounting principles.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Basis for Review Results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reviews in accordance with auditing standards generally accepted in the United States of America (GAAS) applicable to reviews of interim financial information. A review of consolidated interim financial information consists principally of applying analytical procedures and making inquiries of persons responsible for financial and accounting matters. A review of consolidated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the Company and to meet our other ethical responsibilities in accordance with the relevant ethical requirements relating to our reviews. We believe that the results of the review procedures provide a reasonable basis for our conclusion.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Responsibilities of Management for the Consolidated Interim Financial Information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interim financial information in accordance with U.S. generally accepted accounting principles and for the design, implementation, and maintenance of internal control relevant to the preparation and fair presentation of consolidated interim financial information that is free from material misstatement, whether due to fraud or error.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Report on Consolidated Balance Sheet as of December 31, 2025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previously audited, in accordance with GAAS, the consolidated balance sheet as of December 31, 2025, and the related consolidated statements of income, changes in equity, and cash flows for the year then ended (not presented herein); and we expressed an unmodified audit opinion on those audited consolidated financial statements in our report dated April 15, 2026. In our opinion, the accompanying consolidated balance sheet of the Company as of December 31, 2025 is consistent, in all material respects, with the audited consolidated financial statements from which it has been derived.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162050" cy="2495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249555"/>
                    </a:xfrm>
                    <a:prstGeom prst="rect">
                      <a:avLst/>
                    </a:prstGeom>
                  </pic:spPr>
                </pic:pic>
              </a:graphicData>
            </a:graphic>
          </wp:inline>
        </w:drawing>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Jackson, Mississippi </w:t>
        <w:br/>
        <w:t>June 24, 2026</w:t>
      </w:r>
    </w:p>
    <w:p>
      <w:pPr>
        <w:pStyle w:val="TextBody"/>
        <w:keepNext w:val="false"/>
        <w:pageBreakBefore w:val="false"/>
        <w:widowControl/>
        <w:pBdr/>
        <w:bidi w:val="0"/>
        <w:spacing w:before="160" w:after="283"/>
        <w:ind w:left="48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KPMG LLP, a Delaware limited liability partnership, and its subsidiaries are part of </w:t>
        <w:br/>
        <w:t xml:space="preserve">the KPMG global organization of independent member firms affiliated with KPMG </w:t>
        <w:br/>
        <w:t>International Limited, a private English company limited by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3" w:name="T514"/>
      <w:bookmarkEnd w:id="103"/>
      <w:r>
        <w:rPr>
          <w:rFonts w:ascii="Times New Roman PS Std;serif" w:hAnsi="Times New Roman PS Std;serif"/>
          <w:b/>
          <w:i w:val="false"/>
          <w:caps w:val="false"/>
          <w:smallCaps w:val="false"/>
          <w:sz w:val="20"/>
        </w:rPr>
        <w:t>TENAX AEROSPACE ACQUISITION, LLC</w:t>
        <w:br/>
        <w:t>Consolidated Balance Sheets</w:t>
        <w:br/>
        <w:t>March 31, 2026 and December 31, 2025</w:t>
        <w:br/>
        <w:t xml:space="preserve">(Unaudited) </w:t>
      </w:r>
    </w:p>
    <w:tbl>
      <w:tblPr>
        <w:tblW w:w="10205" w:type="dxa"/>
        <w:jc w:val="left"/>
        <w:tblInd w:w="0" w:type="dxa"/>
        <w:tblLayout w:type="fixed"/>
        <w:tblCellMar>
          <w:top w:w="0" w:type="dxa"/>
          <w:left w:w="0" w:type="dxa"/>
          <w:bottom w:w="0" w:type="dxa"/>
          <w:right w:w="0" w:type="dxa"/>
        </w:tblCellMar>
      </w:tblPr>
      <w:tblGrid>
        <w:gridCol w:w="6117"/>
        <w:gridCol w:w="146"/>
        <w:gridCol w:w="286"/>
        <w:gridCol w:w="1366"/>
        <w:gridCol w:w="241"/>
        <w:gridCol w:w="146"/>
        <w:gridCol w:w="286"/>
        <w:gridCol w:w="1366"/>
        <w:gridCol w:w="251"/>
      </w:tblGrid>
      <w:tr>
        <w:trPr/>
        <w:tc>
          <w:tcPr>
            <w:tcW w:w="61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9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17" w:type="dxa"/>
            <w:tcBorders/>
            <w:shd w:fill="CCEEFF" w:val="clear"/>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1,869,963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24,652,743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24,339,179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6,357,804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7,696,387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for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24,077,828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33,548,473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net of accumulated depreciation and </w:t>
              <w:br/>
              <w:t>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174,262,955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 net of accumulated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41,018,966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6,467,295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19,697,285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8,967,102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331,607,312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Liabilities and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14,402,858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6,140,043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7,326,106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4,777,803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1,661,365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1,736,529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26,982,069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38,966,446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Long-term debt, net of deferred financing costs and unamortized </w:t>
              <w:br/>
              <w:t>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339,068,771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Line of credit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6,530,720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6,650,000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long-term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712,049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348,809,373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248,774,452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375,791,442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287,740,898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(deficit)/equity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(41,871,630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receivable for purchase of membership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(deficit)/equity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(44,184,130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331,607,312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4" w:name="T515"/>
      <w:bookmarkEnd w:id="104"/>
      <w:r>
        <w:rPr>
          <w:rFonts w:ascii="Times New Roman PS Std;serif" w:hAnsi="Times New Roman PS Std;serif"/>
          <w:b/>
          <w:i w:val="false"/>
          <w:caps w:val="false"/>
          <w:smallCaps w:val="false"/>
          <w:sz w:val="20"/>
        </w:rPr>
        <w:t>TENAX AEROSPACE ACQUISITION, LLC</w:t>
        <w:br/>
        <w:t>Consolidated Statements of Income</w:t>
        <w:br/>
        <w:t>Three Months Ended March 31, 2026 and 2025</w:t>
        <w:br/>
        <w:t xml:space="preserve">(Unaudited) </w:t>
      </w:r>
    </w:p>
    <w:tbl>
      <w:tblPr>
        <w:tblW w:w="7049" w:type="dxa"/>
        <w:jc w:val="left"/>
        <w:tblInd w:w="0" w:type="dxa"/>
        <w:tblLayout w:type="fixed"/>
        <w:tblCellMar>
          <w:top w:w="0" w:type="dxa"/>
          <w:left w:w="0" w:type="dxa"/>
          <w:bottom w:w="0" w:type="dxa"/>
          <w:right w:w="0" w:type="dxa"/>
        </w:tblCellMar>
      </w:tblPr>
      <w:tblGrid>
        <w:gridCol w:w="3166"/>
        <w:gridCol w:w="146"/>
        <w:gridCol w:w="286"/>
        <w:gridCol w:w="1246"/>
        <w:gridCol w:w="241"/>
        <w:gridCol w:w="146"/>
        <w:gridCol w:w="286"/>
        <w:gridCol w:w="1246"/>
        <w:gridCol w:w="286"/>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14,404,713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20,463,836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24,806,423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10,536,204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1,549,706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1,399,042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637,266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41,254,423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33,036,348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8,384,043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8,223,339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1,756,675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1,287,412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1,303,948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867,294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4,034,462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2,902,227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974,514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401,418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16,989,401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14,485,165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24,265,022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18,551,183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6,274,490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4,435,449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780,351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costs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7,506,987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6,716,821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16,758,035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11,834,362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(8,050,974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(5,071,864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(457,415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(7,821,726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(5,490,191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5" w:name="T801"/>
      <w:bookmarkEnd w:id="105"/>
      <w:r>
        <w:rPr>
          <w:rFonts w:ascii="Times New Roman PS Std;serif" w:hAnsi="Times New Roman PS Std;serif"/>
          <w:b/>
          <w:i w:val="false"/>
          <w:caps w:val="false"/>
          <w:smallCaps w:val="false"/>
          <w:sz w:val="20"/>
        </w:rPr>
        <w:t>TENAX AEROSPACE ACQUISITION, LLC</w:t>
        <w:br/>
        <w:t>Consolidated Statements of (Deficit)/Equity</w:t>
        <w:br/>
        <w:t>Three Months Ended March 31, 2026 and 2025</w:t>
        <w:br/>
        <w:t xml:space="preserve">(Unaudited) </w:t>
      </w:r>
    </w:p>
    <w:tbl>
      <w:tblPr>
        <w:tblW w:w="10205" w:type="dxa"/>
        <w:jc w:val="left"/>
        <w:tblInd w:w="0" w:type="dxa"/>
        <w:tblLayout w:type="fixed"/>
        <w:tblCellMar>
          <w:top w:w="0" w:type="dxa"/>
          <w:left w:w="0" w:type="dxa"/>
          <w:bottom w:w="0" w:type="dxa"/>
          <w:right w:w="0" w:type="dxa"/>
        </w:tblCellMar>
      </w:tblPr>
      <w:tblGrid>
        <w:gridCol w:w="4394"/>
        <w:gridCol w:w="146"/>
        <w:gridCol w:w="286"/>
        <w:gridCol w:w="1261"/>
        <w:gridCol w:w="241"/>
        <w:gridCol w:w="146"/>
        <w:gridCol w:w="289"/>
        <w:gridCol w:w="1218"/>
        <w:gridCol w:w="243"/>
        <w:gridCol w:w="146"/>
        <w:gridCol w:w="286"/>
        <w:gridCol w:w="1261"/>
        <w:gridCol w:w="288"/>
      </w:tblGrid>
      <w:tr>
        <w:trPr/>
        <w:tc>
          <w:tcPr>
            <w:tcW w:w="43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Member’s</w:t>
              <w:br/>
              <w:t>equity</w:t>
            </w:r>
          </w:p>
        </w:tc>
        <w:tc>
          <w:tcPr>
            <w:tcW w:w="146" w:type="dxa"/>
            <w:tcBorders/>
            <w:vAlign w:val="bottom"/>
          </w:tcPr>
          <w:p>
            <w:pPr>
              <w:pStyle w:val="TableContents"/>
              <w:bidi w:val="0"/>
              <w:spacing w:before="0" w:after="283"/>
              <w:jc w:val="left"/>
              <w:rPr/>
            </w:pPr>
            <w:r>
              <w:rPr/>
              <w:t> </w:t>
            </w:r>
          </w:p>
        </w:tc>
        <w:tc>
          <w:tcPr>
            <w:tcW w:w="17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br/>
              <w:t>receivable from</w:t>
              <w:br/>
              <w:t>members</w:t>
            </w:r>
          </w:p>
        </w:tc>
        <w:tc>
          <w:tcPr>
            <w:tcW w:w="146" w:type="dxa"/>
            <w:tcBorders/>
            <w:vAlign w:val="bottom"/>
          </w:tcPr>
          <w:p>
            <w:pPr>
              <w:pStyle w:val="TableContents"/>
              <w:bidi w:val="0"/>
              <w:spacing w:before="0" w:after="283"/>
              <w:jc w:val="left"/>
              <w:rPr/>
            </w:pPr>
            <w:r>
              <w:rPr/>
              <w:t> </w:t>
            </w:r>
          </w:p>
        </w:tc>
        <w:tc>
          <w:tcPr>
            <w:tcW w:w="18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3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18"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(3,320,698</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25,490,490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23,177,990</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1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(40,537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(40,537</w:t>
            </w:r>
          </w:p>
        </w:tc>
        <w:tc>
          <w:tcPr>
            <w:tcW w:w="2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 repurchases, inclusive of transaction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(82,201,004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(82,201,004</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(41,871,630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9"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(44,184,130</w:t>
            </w:r>
          </w:p>
        </w:tc>
        <w:tc>
          <w:tcPr>
            <w:tcW w:w="2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6" w:name="T516"/>
      <w:bookmarkEnd w:id="106"/>
      <w:r>
        <w:rPr>
          <w:rFonts w:ascii="Times New Roman PS Std;serif" w:hAnsi="Times New Roman PS Std;serif"/>
          <w:b/>
          <w:i w:val="false"/>
          <w:caps w:val="false"/>
          <w:smallCaps w:val="false"/>
          <w:sz w:val="20"/>
        </w:rPr>
        <w:t>TENAX AEROSPACE ACQUISITION, LLC</w:t>
        <w:br/>
        <w:t>Consolidated Statements of Cash Flows</w:t>
        <w:br/>
        <w:t>Three Months Ended March 31, 2026 and 2025</w:t>
        <w:br/>
        <w:t xml:space="preserve">(Unaudited) </w:t>
      </w:r>
    </w:p>
    <w:tbl>
      <w:tblPr>
        <w:tblW w:w="10205" w:type="dxa"/>
        <w:jc w:val="left"/>
        <w:tblInd w:w="0" w:type="dxa"/>
        <w:tblLayout w:type="fixed"/>
        <w:tblCellMar>
          <w:top w:w="0" w:type="dxa"/>
          <w:left w:w="0" w:type="dxa"/>
          <w:bottom w:w="0" w:type="dxa"/>
          <w:right w:w="0" w:type="dxa"/>
        </w:tblCellMar>
      </w:tblPr>
      <w:tblGrid>
        <w:gridCol w:w="6127"/>
        <w:gridCol w:w="146"/>
        <w:gridCol w:w="286"/>
        <w:gridCol w:w="1366"/>
        <w:gridCol w:w="241"/>
        <w:gridCol w:w="146"/>
        <w:gridCol w:w="286"/>
        <w:gridCol w:w="1321"/>
        <w:gridCol w:w="286"/>
      </w:tblGrid>
      <w:tr>
        <w:trPr/>
        <w:tc>
          <w:tcPr>
            <w:tcW w:w="61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Adjustments to reconcile net income to net cash provided by operating activities: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5,451,781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4,403,248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 and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445,322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176,632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interest rate caps and interest rate swap,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(606,664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sale of aircraft and disposal of other fixed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(1,088,528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in-kind (PIK)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289,932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interest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in excess of acquisition-date fair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(1,109,077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(519,013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(313,564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(1,376,948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1,338,583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906,207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(1,708,010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3,735,017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(5,703,966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(341,615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and other –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(4,172,231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1,937,544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(492,571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12,502,325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3,572,186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(8,911,067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(6,160,803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on purchases of property and equipment, net of refunds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(10,193,202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(1,474,690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2,142,415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(17,461,854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(7,635,493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long-term debt, net of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123,180,124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3,826,420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(29,452,192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(3,515,625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line of credit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29,357,924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26,149,269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line of credit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(29,477,204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(13,357,367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(2,443,526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Repurchase of member units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up to acquisition-date fair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(3,607,000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related to repurchase of member units’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(4,201,004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5,316,585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6,447,998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1,869,963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3,979,452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flows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including PIK interest paid of $19,029 and $0 in 2026 and 2025,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8,055,284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5,072,351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of property and equipment to assets held for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24,077,828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7" w:name="T517"/>
      <w:bookmarkEnd w:id="107"/>
      <w:r>
        <w:rPr>
          <w:rFonts w:ascii="Times New Roman PS Std;serif" w:hAnsi="Times New Roman PS Std;serif"/>
          <w:b/>
          <w:i w:val="false"/>
          <w:caps w:val="false"/>
          <w:smallCaps w:val="false"/>
          <w:sz w:val="20"/>
        </w:rPr>
        <w:t>TENAX AEROSPACE ACQUISITION, LLC</w:t>
        <w:br/>
        <w:t>Notes to Consolidated Financial Statements</w:t>
        <w:br/>
        <w:t xml:space="preserve">(Unaudited) </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Nature of Operations, Corporate Structure, and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Nature of Operations and Corporate Structure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 (the Company) was formed in 2017 as a limited liability company under the Delaware Limited Liability Company Act to be the holding company of Tenax Aerospace Holdings, LLC (TAH).</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the Company is conducted by its wholly owned subsidiary, TAH and its subsidiaries. TAH earns revenues predominantly through providing special mission aircraft and related services to the United States (U.S.) government and commercial customers, including aerial fire suppression, airborne ISR and other special missions. Additionally, the Company generates revenue through selling systems engineering, electronic system design development, integration and modification, mapping and testing, sensor testing, training and live operations and support to the federal government and government contractors in the U.S.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Principles of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the Company and its wholly owned subsidiary, Tenax Holdco, LLC (Holdco). Tenax Intermediate Holdco, LLC (Intermediate Holdco) is wholly owned by Holdco, and TAH is a wholly owned subsidiary of Intermediate Holdco.</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U.S. generally accepted accounting principles (“GAAP” or “U.S. GAAP”) and applicable rules and regulations regarding interim financial reporting, and include the accounts of the Company, its wholly owned subsidiaries, as required by GAAP. Accordingly, they do not include all of the information and footnotes required by GAAP for annual audited financial statements. The unaudited consolidated financial statements have been prepared on a basis consistent with the audited consolidated financial statements and include all adjustments, which are normal and recurring in nature, necessary for fair financial statement presentation. These consolidated financial statements and notes thereto should be read in conjunction with the Company’s most recently completed annual consolidated financial statements.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significant intercompany accounts and transactions have been eliminated in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Use of Estimates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stated at the amount the Company expects to collect from outstanding balances. The Company provides an allowance for credit losses, which is based upon a review of outstanding receivables, historical collection information, current market conditions and reasonable and supportable forecasts of future economic conditions. No allowance for credit losses was deemed necessary for any period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acquisitions are recorded at cost and are depreciated on a straight — line basis over the estimated useful life of each asset, which ranges from 1 to 15 years, with estimated salvage values primarily ranging from 0% to 20%. Special mission — related modifications to aircraft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depreciated over the useful life of the aircraft when such modifications provide utility beyond the specific lease arrangement. If the mission — specific modifications provide no long — term value, such custom modifications are depreciated over the expected lease term.</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summarized as follows at March 31, 2026 and December 31, 2025:</w:t>
      </w:r>
    </w:p>
    <w:tbl>
      <w:tblPr>
        <w:tblW w:w="7274" w:type="dxa"/>
        <w:jc w:val="left"/>
        <w:tblInd w:w="0" w:type="dxa"/>
        <w:tblLayout w:type="fixed"/>
        <w:tblCellMar>
          <w:top w:w="0" w:type="dxa"/>
          <w:left w:w="0" w:type="dxa"/>
          <w:bottom w:w="0" w:type="dxa"/>
          <w:right w:w="0" w:type="dxa"/>
        </w:tblCellMar>
      </w:tblPr>
      <w:tblGrid>
        <w:gridCol w:w="3151"/>
        <w:gridCol w:w="146"/>
        <w:gridCol w:w="286"/>
        <w:gridCol w:w="1366"/>
        <w:gridCol w:w="241"/>
        <w:gridCol w:w="146"/>
        <w:gridCol w:w="286"/>
        <w:gridCol w:w="1366"/>
        <w:gridCol w:w="28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197,188,962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218,790,984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21,013,159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22,396,778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3,698,724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3,677,973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222,947,518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245,820,854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(48,684,563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(51,189,006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174,262,955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Financing Costs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debt during the three months ended March 31, 2026 and the year ended March 31, 2025, the Company incurred financing costs totaling approximately $2,400,000 and $0, respectively. These costs have been deferred and are being amortized over the term of the related debt. Amortization expense is included in interest expense in the accompanying consolidated statements of income and approximated $359,000 and $163,000 for the three months ended March 31, 2026 and 2025, respectively. The remaining unamortized deferred financing cost is shown net of long-term debt in the accompanying consolidated balance sheets. See Note 4 for additional information about long-term debt.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 Impairment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recoverability of the carrying value of long-lived assets, such as property and equipment and purchased intangible assets subject to amortization,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asset impairment was recognized during the three months ended March 31, 2026 and 2025.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Investment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a total interest of 5.922% in Overwatch Imaging, LLC (Overwatch) at March 31, 2026 and December 31, 2025 and accounts for this investment under ASC 321 using the measurement alternative, whereby the investment is carried at cost, adjusted for observable price changes and impairment. The Company did not buy or sell any shares for any period presented. The amount recorded as the investment in Overwatch at March 31, 2026 and December 31, 2025 was $1,357,048 and was included in other noncurrent assets on the consolidated balance sheets.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Goodwill and Other Intangible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Goodwill represents the excess purchase price over the estimated fair value of net assets acquired in a business combination. Goodwill is tested annually for impairment or more frequently if impairment indicators are present. When impairment indicators are identified, the Company compares the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with estimable or determinable useful lives are amortized over their respective estimated useful lives in a manner that approximates the economic benefits consumed and are periodically reviewed for impairment.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will be taxed as a partnership for both federal and state income tax purposes. Taxable income or loss is therefore reported to the individual members for inclusion in their respective tax returns, and no provision for federal and state income taxes is included in these consolidated financial statements.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Revenue Recognition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Service and product income </w:t>
      </w:r>
      <w:r>
        <w:rPr>
          <w:rFonts w:ascii="Times New Roman PS Std;serif" w:hAnsi="Times New Roman PS Std;serif"/>
          <w:b w:val="false"/>
          <w:i w:val="false"/>
          <w:caps w:val="false"/>
          <w:smallCaps w:val="false"/>
          <w:sz w:val="20"/>
        </w:rPr>
        <w:t xml:space="preserve">is recognized in accordance with Financial Accounting Standards Codification (ASC)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when the Company satisfies its performance obligations under the terms of its contracts and control of goods or services is transferred to customers in an amount that reflects the consideration the Company expects to receive. This process includes identifying the contract with a customer, identifying distinct performance obligations, determining the transaction price, allocating the transaction price to performance obligations based on relative standalone selling prices, and recognizing revenue as the performance obligations are satisfied.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Service and product income is primarily generated from government contracts. The Company’s subsidiary, DST, provides specially modified aircraft for aerial sensor testing, training, and live operations, as well as unmanned aircraft systems, maritime services, logistical support and aircraft modification services. Because DST retains a substantive right of substitution, these arrangements do not constitute leases under ASC Topic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Revenue from these contracts is generally recognized over time as services are performed. For performance obligations satisfied over time, revenue is recognized using methods that best depict the transfer of control to the customer, including the right-to-invoice method, straight-line recognition, or the percentage-of-completion cost-to-cost method.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the practical expedient to not separate lease and non-lease components for certain operating leases that meet the criteria under ASC Topic 842. Services associated with these arrangements, including operations performed outside the continental United States, are generally provided under fixed-price contracts. Revenue from fixed-price service contracts is recognized over the contractual service period based on the related performance obligations. For sales-type leases, lease components are accounted for under ASC Topic 842, while non-lease components, including modification, operations, and maintenance services, are accounted for under ASC Topic 606.</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rental income </w:t>
      </w:r>
      <w:r>
        <w:rPr>
          <w:rFonts w:ascii="Times New Roman PS Std;serif" w:hAnsi="Times New Roman PS Std;serif"/>
          <w:b w:val="false"/>
          <w:i w:val="false"/>
          <w:caps w:val="false"/>
          <w:smallCaps w:val="false"/>
          <w:sz w:val="20"/>
        </w:rPr>
        <w:t>is derived from operating leases of aircraft. The Company recognizes aircraft rental income on a straight-line basis over the non-cancelable term of the lease in accordance with ASC Topic 842.</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flight hour income </w:t>
      </w:r>
      <w:r>
        <w:rPr>
          <w:rFonts w:ascii="Times New Roman PS Std;serif" w:hAnsi="Times New Roman PS Std;serif"/>
          <w:b w:val="false"/>
          <w:i w:val="false"/>
          <w:caps w:val="false"/>
          <w:smallCaps w:val="false"/>
          <w:sz w:val="20"/>
        </w:rPr>
        <w:t>represents variable consideration under aircraft lease arrangements and is recognized as flight hours are flown at the contractual hourly rates specified in the related lease agreements.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Other income </w:t>
      </w:r>
      <w:r>
        <w:rPr>
          <w:rFonts w:ascii="Times New Roman PS Std;serif" w:hAnsi="Times New Roman PS Std;serif"/>
          <w:b w:val="false"/>
          <w:i w:val="false"/>
          <w:caps w:val="false"/>
          <w:smallCaps w:val="false"/>
          <w:sz w:val="20"/>
        </w:rPr>
        <w:t>consists of miscellaneous revenue items that are recognized when earned and realizable, including cost-reimbursable items such as travel and other direct costs that are billed to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include direct material and labor costs and indirect costs related to contract performance. Selling, general, and administrative costs are expensed as incurred. Provisions for estimated losses on uncompleted contracts are recognized in the period such losses are identified. Revisions to cost estimates and profitability are recognized in the period in which changes are determined.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Company’s contracts are for one-year terms with annual renewal options. Accordingly, for those contracts, contract-related assets and liabilities are classified as current. Due to the inherent uncertainty in estimating costs and revenues, it is reasonably possible that estimates used in revenue recognition may change in the near term.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Fair Value Measurements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the Company’s financial instruments, including cash and cash equivalents, accounts receivable, accounts payable, and accrued liabilities, approximate their respective fair values due to the short-term nature of those instruments.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   Leases-Lessor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business, enters into lease arrangements with its customers that grant the customer the right to use one or more specific modified aircraft. The arrangements range from a dry lease that is limited to the lease of the aircraft with certain other services provided (e.g., maintenance services) to a wet lease where the Company not only supplies the aircraft but also supplies the crew and provides certain other services (e.g., maintenance and certain mission specific services). The Company determines if an arrangement with its customer is or contains a lease at the lease inception date by evaluating whether the arrangement conveys the right to use an identified asset and whether the customer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determined that the contract is or contains a lease, the Company then assesses lease classification considering the lease term and assumptions that exist at the lease commencement date. Depending on this assessment, the Company will account for its lease agreements as either operating, direct financing, or sales type leases, with the resulting accounting dependent on the lease classification.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leases classified as operating leases, the underlying aircraft remains on the Company’s consolidated balance sheets and continues to be depreciated in accordance with the Company’s depreciation policies for similar assets. Rental income for operating leases is recognized on a straight- line basis over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term. For the leases that are classified as direct financing or sales type leases, the aircraft is derecognized, and a net investment in the leased aircraft is recognized on the Company’s consolidated balance sheet. The net investment consists of a lease receivable and the expected unguaranteed residual value of the leased aircraft, each of which is determined on a discounted basis. The expected unguaranteed residual value of the aircraft is based on the Company’s estimate of the value of the aircraft at the expiration of the lease. Interest income is recognized on the net investment in the lease using the effective interest method to produce a consistent yield over the lease term.</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 agreements with its customers include fixed lease payments and, in certain scenarios, variable lease payments based on the number of flight hours. In addition to the lease payments, certain of the Company’s contracts include non-lease components which come in various forms, such as maintenance services, flight crew, technicians, and fuel. Topic 842 requires that the consideration in the contract be allocated between lease and non-lease components on a relative standalone selling price basis, unless a provided practical expedient is elected. Specifically, Topic 842 includes a practical expedient that permits a lessor, as an accounting policy election by underlying asset class, to choose not to separate non lease components from lease components when the lease component, if accounted for separately, would be classified as an operating lease and when the timing and pattern of transfer for the lease and non-lease components associated with the lease component are the same. The Company has elected this practical expedient for all of its customer aircraft lease agreements that meet these conditions.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the lease term at the lease commencement date. The lease term is defined as the noncancelable period plus any period subject to a renewal option that is deemed reasonably certain of being exercised or subject to a termination option that is reasonably certain of not being exercised. Certain of the Company’s lease contracts do include renewal options that allow the customer to extend the lease term for an additional period of 6 months to 7 years. The Company typically does not include the renewal options as part of the lease term, as it does not believe that it is reasonably certain that such options will be exercised.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lessor leasing activity in Note 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    Leases-Lessee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hangar space and aircraft under operating leases. The aircraft subject to operating lease agreements are used as part of the Company’s core operations and leased to a certain customer via a sublease.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defines a short-term lease as a lease with a lease term of twelve months or less and that does not include a purchase option that is reasonably certain of being exercised. A lessee, as an accounting policy, can elect to not recognize short- term leases on the balance sheet, but rather recognize the related lease cost on a straight- line basis over the short-term lease period. The Company has elected this policy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lease commencement date, the Company recognizes a lease liability and a ROU asset representing its right to use the underlying asset over the lease term. The initial measurement of the lease liability is calculated on the basis of the present value of the remaining lease payments, and the ROU asset is measured on the basis of this liability, and adjusted as necessary by prepaid and accrued rent, lease incentives and initial direct costs. The subsequent measurement of a lease is dependent on whether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is classified as an operating lease or a finance lease. Operating lease cost is recognized on a straight- line basis over the lease term in the consolidated statement of income. Finance lease cost is comprised of separate interest and amortization components and is presented in the consolidated statement of income. The Company’s leasing activities are currently limited to operating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the consideration in the contract be allocated between lease and non-lease components on a relative standalone price basis unless a provided practical expedient is elected. Specifically, Topic 842 includes a practical expedient that permits a lessee, as an accounting policy election by underlying asset class, to choose not to separate lease and non-lease components and instead account for the separate lease component and associated non lease components on a combined basis. The Company has elected to apply this practical expedient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acquired in business combinations, the Company will retain the lease classification used by the acquiree unless the Company modifies a lease in a manner that is not accounted for as a separate contract. For leases in which the acquiree was the lessee, the Company will measure the lease liability at the present value of the remaining lease payments, as if the acquired lease were a new lease of the Company at the acquisition date. The Company will measure the ROU asset at the same amount as the lease liability as adjusted to reflect favorable or unfavorable terms of the lease when compared with market terms. Acquired leasehold improvements will be amortized over the shorter of the useful life of the assets and the remaining lease term at the date of acquisition. However, if the lease transfers ownership of the underlying asset to the lessee, or the lessee is reasonably certain to exercise an option to purchase the underlying asset, the lessee shall amortize the leasehold improvements to the end of their useful life.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require other payments such as costs related to service components, real estate taxes, common area maintenance, and insurance. These costs are generally variable in nature and based on the actual costs incurred and required by the lease. As the result of the Company’s election to not separate lease and non-lease components, all variable costs associated with the lease are expensed in the period incurred and presented and disclosed as variable lease costs. The Company’s lease agreements do not contain any residual value guarantees or material restrictive financial covenants. The Company does not have any leases that have not yet commenced that create significant rights and obligations for the lessee.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expire over the next 22 years and include options that grant the Company the ability to renew or extend the leases, with the renewal options extending the lease for an additional 1 to 10 years, depending on the lease. When determining the lease term, the Company does not include renewal options unless the renewals are deemed to be reasonably certain of being exercised at the lease commencement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a lessee use the rate implicit in the lease when measuring the lease liability and ROU asset, unless that rate is not readily determinable. When the rate implicit in the lease is not readily determinable, the Company uses its incremental borrowing rate. The Company’s incremental borrowing rate represents the rate of interest that the Company would have to pay to borrow, on a collateralized basis, an amount equal to the lease payments, over a similar term and in a similar economic environment. The incremental borrowing rate is determined for each lease based on the lease term and the underlying asset, using observable market data and Company specific credit assumptions.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an updated incremental borrowing rate for new leases and upon remeasurement events for existing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operating leases in Note 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Derivatives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uses interest rate-related derivative instruments to manage its exposure related to changes in interest rates on its variable rate debt instruments. All derivative instruments are recognized as either assets or liabilities in the balance sheet at their respective fair values. The Company does not apply hedge accounting to its outstanding interest rate cap and interest rate swap; therefore, changes in the fair values of the derivative instruments are recognized in earnings each reporting period.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Warrant Liabilities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warrants issued in connection with financing transactions to determine whether such instruments are freestanding financial instruments and whether they should be classified as liabilities or equity in accordance with ASC 480, Distinguishing Liabilities from Equity, and other applicable accounting guidance.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that include provisions that could require the Company to repurchase its equity instruments for cash or other assets, or that otherwise meet the criteria for liability classification under ASC 480, are classified as warrant liabilities. Warrant liabilities are initially recognized at fair value on the issuance date and are subsequently remeasured at fair value at each reporting date until settlement, expiration or exercise.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fair value of warrant liabilities are recognized in other expense in the consolidated statements of income.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warrant liabilities is determined using valuation techniques that are appropriate in the circumstances and for which sufficient data are available to measure fair value, maximizing the use of observable inputs and minimizing the use of unobservable inputs. The Company estimates the fair value of its warrant liabilities using the Black-Scholes option pricing model. Significant assumptions used in the valuation include the expected term of the warrants, expected volatility, risk-free interest rate and dividend yield.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 are classified within Level 3 of the fair value hierarchy due to the use of significant unobservable inputs. See Note 13 for additional information.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Assets Held for Sale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classifies long-lived assets as held for sale when management commits to a plan to sell the assets and all criteria for held-for-sale classification are met in accordance with ASC 205-20 and ASC 360-10. Upon classification as held for sale, the carrying amounts of such assets are reclassified from property and equipment, net, to current assets within “Assets held for sale” on the consolidated balance sheets.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classified as held for sale are measured at the lower of carrying amount or fair value less cost to sell. Depreciation ceases when assets are classified as held for sale. Assets classified as held for sale are evaluated at each reporting date to determine whether the held-for-sale criteria continue to be met. If the criteria are no longer met, the assets are reclassified as held and used and measured in accordance with the applicable guidance for long-lived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assets as held for sale does not result in discontinued operations presentation unless the disposition represents a strategic shift that has, or will have, a major effect on the Company’s operations or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Merger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Air Industries Group (AIR) entered into an Agreement and Plan of Merger (the Merger Agreement) to combine the Company’s aviation business with AIR’s aerospace manufacturing business. This “reverse merger” will result in the Company owning approximately 95% of AIR’s outstanding shares based on a calculation of “Debt Adjusted AIR Share Price” (as defined) in the Merger Agreement. The merger is subject to AIR shareholder approval, related regulatory filings, U.S. government approvals and other closing conditions customary for transactions of this size and nature.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Merger is anticipated to occur subsequent to the consolidated balance sheet date, this subsequent event activity has not been reflected in the accompanying consolidated financial statements as of March 31, 2026.</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Contingent Consideration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a contingent consideration arrangement associated with the DST acquisition on December 22, 2022. The contingent consideration arrangement, as evidenced by a seller note, required the Company to pay the former owner of DST a payout based on the achievement of certain financial metrics of DST during 2023, 2024, and 2025, with a target amount of $15,000,000, as adjusted higher or lower based on the formula in the seller note, to be paid in three installments, the first during 2024, the second during 2025, and the third during 2026. The fair value of the contingent consideration arrangement at the date of acquisition of $9,300,000 and subsequent remeasurement was estimated by applying the income approach. That measure is based on significant inputs that are not observable in the market, which are referred to as Level 3 inputs (see discussion of the fair value hierarchy at Note 1(l). The final portion of the contingent liability was paid out in February 2026 and as such, at March 31, 2026 and December 31, 2025, the amount reflected as a contingent consideration liability on the consolidated balance sheets of the Company was $0 and $4,716,077, respectively. In February of 2026 and 2025, payments were made to the former owner in the amounts of $4,716,077 and $3,853,013,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Goodwill and Customer Relationship Intangibles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goodwill of $33,202,473 reflected on the Company’s consolidated balance sheets as of March 31, 2026 and December 31, 2025 was associated with the acquisition of DST by the Company in 2022 and the acquisition of TAH by the Company in 2018. There were no changes in the carrying amount of goodwill for the three months ended March 31, 2026 and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as of March 31, 2026 and December 31, 2025 regarding the Company’s other identifiable intangible assets subject to amortization:</w:t>
      </w:r>
    </w:p>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13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 2026</w:t>
            </w:r>
          </w:p>
        </w:tc>
      </w:tr>
      <w:tr>
        <w:trPr/>
        <w:tc>
          <w:tcPr>
            <w:tcW w:w="34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51,346,034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41,018,966</w:t>
            </w:r>
          </w:p>
        </w:tc>
      </w:tr>
    </w:tbl>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13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34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50,092,323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Goodwill and Customer Relationship Intangibles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relationship intangibles have a weighted average remaining useful life of 9.8 years. Amortization expense for the three months ended March 31, 2026 and 2025 was $1,253,711 and $1,409,082,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estimated amortization expense of the Company’s amortizable identifiable intangible assets for the next five years:</w:t>
      </w:r>
    </w:p>
    <w:tbl>
      <w:tblPr>
        <w:tblW w:w="6779" w:type="dxa"/>
        <w:jc w:val="left"/>
        <w:tblInd w:w="0" w:type="dxa"/>
        <w:tblLayout w:type="fixed"/>
        <w:tblCellMar>
          <w:top w:w="0" w:type="dxa"/>
          <w:left w:w="0" w:type="dxa"/>
          <w:bottom w:w="0" w:type="dxa"/>
          <w:right w:w="0" w:type="dxa"/>
        </w:tblCellMar>
      </w:tblPr>
      <w:tblGrid>
        <w:gridCol w:w="5176"/>
        <w:gridCol w:w="146"/>
        <w:gridCol w:w="286"/>
        <w:gridCol w:w="1171"/>
      </w:tblGrid>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2026 (remaining)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3,830,785</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4,548,394</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6,646,871</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6,434,875</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6,374,055</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6,800,272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Long-Term Debt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the Company (as initial borrower) and TAH (as successor borrower) entered into a First Lien Credit Agreement (First Lien) with a group of banks and a Second Lien Credit Agreement (Second Lien) with an investment firm. The First Lien was refinanced on August 3, 2022, representing the Amended and Restated First Lien Credit Agreement, and included an increase in the term loan to $85,000,000 and provided for a $15,000,000 revolving line of credit and a $40,000,000 Delayed Draw Term Loan. The maturity date of the First Lien was the earliest of (a) August 3, 2027, (b) the date six months prior to the maturity date of the Second Lien and (c) the date twelve months prior to the maturity date of the Holdco subordinated term loan agreement. The Second Lien was amended on August 3, 2022, which extended the maturity date to July 10, 2025. The First Lien was amended on December 22, 2022, to add an additional term loan in the amount of $40,000,000 and increase the revolving line of credit to $20,000,000. On November 29, 2023, the Company entered into an incremental delayed draw term loan agreement with its lender to provide an additional commitment of $15,000,000.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Lien was refinanced on January 23, 2024, representing the Second Amended and Restated Credit Agreement, and included a term loan of $172,500,000 and provided for a $30,000,000 revolving line of credit and a $42,500,000 Delayed Draw Term Loan feature. As part of this refinancing, the Second Lien was paid in full.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Second Amended and Restated Credit Agreement was amended to provide for (a) a $200,000,000 term loan, (b) a Delayed Draw Term Loan #1 of $40,000,000, (c) a Delayed Draw Term Loan #2 of $60,000,000 (none of which has been drawn through December 31, 2025) and (d) a $30,000,000 revolving line of credit (of which $6,650,000 was drawn as of December 31,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Second Amended and Restated Credit Agreement was further amended to provide for (a) a $200,000,000 term loan, (b) a Delayed Draw Term Loan # 1 of $40,000,000, (c) a Delayed Draw Term Loan # 2 of $60,000,000 (of which $ 48,057,153 was drawn as of March 31, 2026) and (d) a 30,000,000 revolving line of credit (of which $6,530,720 was drawn as of March 31,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date of the amended First Lien is the earliest of (a) January 7, 2031, (b) the date twelve months prior to the maturity date of the Subordinated Term Loan and (c) the date six months prior to the maturity date of the Second Lien. The revolving line of credit had an outstanding balance of $6,530,720 and $6,650,000 at March 31, 2026 and December 31, 2025, respectively. The revolving line of credit has the same maturity date as the First Lien and has a variable interest rate, which was 7.02% as of March 31, 2026. Interest related to the revolving line of credit is paid monthly.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Company entered into a new Second Lien Credit Agreement with an investment firm to provide for Second Lien Debt of $30,000,000. The maturity date of the Second Lien Debt is July 7, 2031. Repayment of the loan principal is due at maturity.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Holdco entered into a $37,500,000 subordinated term loan agreement (the Subordinated Term Loan) with an investment firm. The Subordinated Term Loan, as amended on August 3, 2022, bears interest at a variable rate based on an adjusted Secured Overnight Financing Rate (SOFR), plus applicable margin. Interest is due quarterly; however, Holdco may pay up to 10.0% per annum of such interest in kind by capitalizing such portion of the accrued interest into the principal amount of the Subordinated Term Loan. Under certain conditions as set forth in the First and Second Lien Term Loans, the payment of interest on this borrowing would not be permitted. Under these conditions, the entire accrued interest may be treated as in kind and capitalized into the principal amount of the Subordinated Term Loan. The borrowings under this Subordinated Term Loan agreement are subordinate to the First and Second Liens, collateralized by a security interest in Intermediate Holdco and originally were scheduled to mature on January 4, 2024. The agreement was amended on August 3, 2022, to extend the maturity date to January 4,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refinancing of the First Lien Term Loan on August 3, 2022, the Company repaid $21,000,000 on this Subordinated Term Loan. Additionally, on December 22, 2022, the Subordinated Term Loan agreement was amended to make additional term loans in the amount of $5,000,000 under the same terms and conditions. On January 23, 2024, the Subordinated Term Loan was amended to extend the maturity date from January 4, 2026 to January 23, 2027. The Subordinated Term Loan was amended again on December 30, 2024, to extend the maturity date from January 23, 2027 to July 23, 2027.</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Subordinated Term Loan was extinguished, and all previous unamortized financing costs were expensed. Concurrently, Holdco entered into a new subordinated term loan agreement with a different lender, maturing on January 7, 2032. In connection with this new Subordinated Term Loan, Warrants were issued, as further described in Note 13. Repayment of the loan principal is due at maturity. The amount of interest capitalized for the three months ended March 31, 2026 and 2025 was $289,932 and $0, respectively. The amount outstanding was $42,789,932 and $29,471,221 as of March 31, 2026 and December 31, 2025, respectively, and the interest rate was 15.00% and 18.09% at March 31, 2026 and December 31, 2025, respectively.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the following long-term debt at March 31, 2026 and December 31, 2025:</w:t>
      </w:r>
    </w:p>
    <w:tbl>
      <w:tblPr>
        <w:tblW w:w="10205" w:type="dxa"/>
        <w:jc w:val="left"/>
        <w:tblInd w:w="0" w:type="dxa"/>
        <w:tblLayout w:type="fixed"/>
        <w:tblCellMar>
          <w:top w:w="0" w:type="dxa"/>
          <w:left w:w="0" w:type="dxa"/>
          <w:bottom w:w="0" w:type="dxa"/>
          <w:right w:w="0" w:type="dxa"/>
        </w:tblCellMar>
      </w:tblPr>
      <w:tblGrid>
        <w:gridCol w:w="6564"/>
        <w:gridCol w:w="146"/>
        <w:gridCol w:w="286"/>
        <w:gridCol w:w="1366"/>
        <w:gridCol w:w="146"/>
        <w:gridCol w:w="286"/>
        <w:gridCol w:w="1411"/>
      </w:tblGrid>
      <w:tr>
        <w:trPr/>
        <w:tc>
          <w:tcPr>
            <w:tcW w:w="65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$2,500,000 through March 31, 2028; $3,750,000 through March 31, 2030; $5,000,000 thereafter with a balloon payment at maturity of January 7, 2031; variable interest rate (7.02% at March 31, 2026); secured by 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$3,750,000 through, March 31, 2026; $5,000,000 thereafter with a balloon payment at maturity of July 23, 2026; variable interest rate (7.52% at December 31, 2025); secured by aircraft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196,250,000</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$500,000 through March 31, 2028; $750,000 through March 31, 2030; $1,000,000 thereafter with a balloon payment at maturity of January 7, 2031; variable interest rate (7.02% at March 31, 2026); secured by 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#2 payable to a bank, due in quarterly installments of $600,714 through March 31, 2028; $901,072 through March 31, 2030; $1,201,429 thereafter with a balloon payment at maturity of January 7, 2031; variable interest rate (7.02% and 7.13% at March 31, 2026); secured by aircraft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48,057,153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6082"/>
        <w:gridCol w:w="146"/>
        <w:gridCol w:w="286"/>
        <w:gridCol w:w="1366"/>
        <w:gridCol w:w="241"/>
        <w:gridCol w:w="146"/>
        <w:gridCol w:w="286"/>
        <w:gridCol w:w="1366"/>
        <w:gridCol w:w="286"/>
      </w:tblGrid>
      <w:tr>
        <w:trPr/>
        <w:tc>
          <w:tcPr>
            <w:tcW w:w="60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b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$750,000 through March 31, 2026; $1,000,000 thereafter with a balloon payment at maturity of July 23, 2026; variable interest rate (7.43% and 7.52% at December 31, 2025); secured by 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39,252,029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Lien term note payable to investment firm, principal due at maturity of July 7, 2031; fixed interest rate (11.50% at March 31,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(including interest of $289,932 paid in-kind) due at maturity of January 7, 2032; fixed interest rate (15.00% at March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42,789,932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due at maturity of July 23, 2027; variable interest rate (18.09% at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360,847,085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maturities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(14,402,858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discount on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(2,707,971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339,068,771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rate is defined in the amended first lien credit agreement as an adjusted Secured Overnight Financing Rate (SOFR) plus applicable margin or a base rate plus applicable margin. The loan may consist of the adjusted SOFR rate, the base rate or a combination thereof, at the borrower’s option.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indebtedness is collateralized by substantially all of the Company’s property and equipment. In connection with its indebtedness, the Company is required, among other things, to maintain certain financial covenants, which include consolidated leverage and fixed charge ratios, that must be complied with prior to certain distributions being made to its members.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Company’s long-term debt approximates its carrying amount primarily due to the recent amendments of the instruments at market rates.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long-term debt at March 31, 2026 are as follows:</w:t>
      </w:r>
    </w:p>
    <w:tbl>
      <w:tblPr>
        <w:tblW w:w="3644" w:type="dxa"/>
        <w:jc w:val="left"/>
        <w:tblInd w:w="0" w:type="dxa"/>
        <w:tblLayout w:type="fixed"/>
        <w:tblCellMar>
          <w:top w:w="0" w:type="dxa"/>
          <w:left w:w="0" w:type="dxa"/>
          <w:bottom w:w="0" w:type="dxa"/>
          <w:right w:w="0" w:type="dxa"/>
        </w:tblCellMar>
      </w:tblPr>
      <w:tblGrid>
        <w:gridCol w:w="1801"/>
        <w:gridCol w:w="146"/>
        <w:gridCol w:w="286"/>
        <w:gridCol w:w="1411"/>
      </w:tblGrid>
      <w:tr>
        <w:trPr/>
        <w:tc>
          <w:tcPr>
            <w:tcW w:w="1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(remaining)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10,802,143</w:t>
            </w:r>
          </w:p>
        </w:tc>
      </w:tr>
      <w:tr>
        <w:trPr/>
        <w:tc>
          <w:tcPr>
            <w:tcW w:w="1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14,402,858</w:t>
            </w:r>
          </w:p>
        </w:tc>
      </w:tr>
      <w:tr>
        <w:trPr/>
        <w:tc>
          <w:tcPr>
            <w:tcW w:w="1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19,803,929</w:t>
            </w:r>
          </w:p>
        </w:tc>
      </w:tr>
      <w:tr>
        <w:trPr/>
        <w:tc>
          <w:tcPr>
            <w:tcW w:w="1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21,604,286</w:t>
            </w:r>
          </w:p>
        </w:tc>
      </w:tr>
      <w:tr>
        <w:trPr/>
        <w:tc>
          <w:tcPr>
            <w:tcW w:w="1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27,005,358</w:t>
            </w:r>
          </w:p>
        </w:tc>
      </w:tr>
      <w:tr>
        <w:trPr/>
        <w:tc>
          <w:tcPr>
            <w:tcW w:w="1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267,228,511</w:t>
            </w:r>
          </w:p>
        </w:tc>
      </w:tr>
      <w:tr>
        <w:trPr/>
        <w:tc>
          <w:tcPr>
            <w:tcW w:w="18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360,847,085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Interest Rate Cap and Swap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in connection with the refinance of the Company’s First Lien, for a fee of $1,444,822, the Company entered into an interest rate cap agreement to provide a hedge against the risk of rising interest rates on its indebtedness. The notional amount as of March 31, 2026 and December 31, 2025 was $75,000,000. The derivative is carried at fair value on the consolidated balance sheets with changes in fair value included in other, net in the consolidated statements of income. The fair value of the interest rate cap as of March 31, 2026 and December 31, 2025 and 2024 was immaterial. The fair value measurement is based on observable inputs in the market, which are referred to as Level 2 inputs in the fair value hierarchy. The change in fair value for the three months ended March 31, 2026 and 2025 was a gain of $9,362 and a loss of $155,195,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Interest Rate Cap and Swap Agreements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2022, the Company entered into an interest rate swap agreement at no charge to provide a hedge against the risk of rising interest rates on its indebtedness incurred in connection with the acquisition of DST. The notional amount as of March 31, 2026 and December 31, 2025 was $40,000,000. The derivative is carried at fair value on the consolidated balance sheets with changes in fair value included in other, net in the consolidated statements of income. The fair value of the interest rate swap as of March 31, 2026 and December 31, 2025 was immaterial. The fair value measurement is based on observable inputs in the market, which are referred to as Level 2 inputs in the fair value hierarchy. The change in fair value for the three months ended March 31, 2026 and 2025 was a gain of $209,406 and a loss of $350,374,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19, 2026, in connection with the refinance of the Company’s First Lien, for a fee of $500,000, the Company entered into an interest rate cap agreement to provide a hedge against the risk of rising interest rates on its indebtedness. The notional amount as of March 31, 2026 was $150,000,000. The derivative is carried at fair value on the consolidated balance sheets with changes in fair value included in other, net in the consolidated statements of income. The fair value of the interest rate cap as of March 31, 2026 was $887,896. The fair value measurement is based on observable inputs in the market, which are referred to as Level 2 inputs in the fair value hierarchy. The change in fair value for the three months ended March 31, 2026 was a gain of $387,896.</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Leasing Activities — Lessor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core business, leases aircraft to its customers by executing dry lease and wet lease agreements, as described in Note 1(m).</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all rental income is the result of lease agreements with governmental agencies or their contractors that are typically for a term of one year, with options for annual extensions.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operating leases during the three months ended March 31, 2026 and 2025 is as follows:</w:t>
      </w:r>
    </w:p>
    <w:tbl>
      <w:tblPr>
        <w:tblW w:w="8007" w:type="dxa"/>
        <w:jc w:val="left"/>
        <w:tblInd w:w="0" w:type="dxa"/>
        <w:tblLayout w:type="fixed"/>
        <w:tblCellMar>
          <w:top w:w="0" w:type="dxa"/>
          <w:left w:w="0" w:type="dxa"/>
          <w:bottom w:w="0" w:type="dxa"/>
          <w:right w:w="0" w:type="dxa"/>
        </w:tblCellMar>
      </w:tblPr>
      <w:tblGrid>
        <w:gridCol w:w="4726"/>
        <w:gridCol w:w="146"/>
        <w:gridCol w:w="286"/>
        <w:gridCol w:w="1246"/>
        <w:gridCol w:w="146"/>
        <w:gridCol w:w="286"/>
        <w:gridCol w:w="1171"/>
      </w:tblGrid>
      <w:tr>
        <w:trPr/>
        <w:tc>
          <w:tcPr>
            <w:tcW w:w="4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3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Quarters Ended</w:t>
            </w:r>
          </w:p>
        </w:tc>
      </w:tr>
      <w:tr>
        <w:trPr/>
        <w:tc>
          <w:tcPr>
            <w:tcW w:w="47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2025</w:t>
            </w:r>
          </w:p>
        </w:tc>
      </w:tr>
      <w:tr>
        <w:trPr/>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straight-line lease payments(1)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24,806,423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8,346,162</w:t>
            </w:r>
          </w:p>
        </w:tc>
      </w:tr>
      <w:tr>
        <w:trPr/>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variable lease payments(2)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1,549,706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1,399,042</w:t>
            </w:r>
          </w:p>
        </w:tc>
      </w:tr>
      <w:tr>
        <w:trPr/>
        <w:tc>
          <w:tcPr>
            <w:tcW w:w="4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rental income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26,356,129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9,745,204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Presented within aircraft rental income in the consolidated statements of income.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Presented within aircraft flight hour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the maturity analysis of lease payments expected to be received under operating leases in the next twelve months under Topic 842 were approximately $72,407,728.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reported in the consolidated balance sheets under operating lease agreements at March 31, 2026 and December 31, 2025 are as follows:</w:t>
      </w:r>
    </w:p>
    <w:tbl>
      <w:tblPr>
        <w:tblW w:w="7904" w:type="dxa"/>
        <w:jc w:val="left"/>
        <w:tblInd w:w="0" w:type="dxa"/>
        <w:tblLayout w:type="fixed"/>
        <w:tblCellMar>
          <w:top w:w="0" w:type="dxa"/>
          <w:left w:w="0" w:type="dxa"/>
          <w:bottom w:w="0" w:type="dxa"/>
          <w:right w:w="0" w:type="dxa"/>
        </w:tblCellMar>
      </w:tblPr>
      <w:tblGrid>
        <w:gridCol w:w="3781"/>
        <w:gridCol w:w="146"/>
        <w:gridCol w:w="286"/>
        <w:gridCol w:w="1366"/>
        <w:gridCol w:w="241"/>
        <w:gridCol w:w="146"/>
        <w:gridCol w:w="286"/>
        <w:gridCol w:w="1366"/>
        <w:gridCol w:w="286"/>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149,020,451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139,973,363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(36,174,841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(33,177,004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property under lease agreements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112,845,610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106,796,359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Leasing Activities — Lessor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Investment in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2019, the Company entered into a lease agreement with an unaffiliated company that qualifies as a direct financing lease. This lease expired in March 2025. In both 2022 and 2023, the Company entered into lease agreements that qualified as sales-type leases. Both of these leases expired in September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net investment in leases during the three months ended March 31, 2026 and 2025 is as follows:</w:t>
      </w:r>
    </w:p>
    <w:tbl>
      <w:tblPr>
        <w:tblW w:w="5755" w:type="dxa"/>
        <w:jc w:val="left"/>
        <w:tblInd w:w="0" w:type="dxa"/>
        <w:tblLayout w:type="fixed"/>
        <w:tblCellMar>
          <w:top w:w="0" w:type="dxa"/>
          <w:left w:w="0" w:type="dxa"/>
          <w:bottom w:w="0" w:type="dxa"/>
          <w:right w:w="0" w:type="dxa"/>
        </w:tblCellMar>
      </w:tblPr>
      <w:tblGrid>
        <w:gridCol w:w="2776"/>
        <w:gridCol w:w="146"/>
        <w:gridCol w:w="507"/>
        <w:gridCol w:w="723"/>
        <w:gridCol w:w="146"/>
        <w:gridCol w:w="286"/>
        <w:gridCol w:w="1171"/>
      </w:tblGrid>
      <w:tr>
        <w:trPr/>
        <w:tc>
          <w:tcPr>
            <w:tcW w:w="2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Quarters Ended</w:t>
            </w:r>
          </w:p>
        </w:tc>
      </w:tr>
      <w:tr>
        <w:trPr/>
        <w:tc>
          <w:tcPr>
            <w:tcW w:w="2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2025</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 interest(3)</w:t>
            </w:r>
          </w:p>
        </w:tc>
        <w:tc>
          <w:tcPr>
            <w:tcW w:w="146" w:type="dxa"/>
            <w:tcBorders/>
            <w:shd w:fill="CCEEFF" w:val="clear"/>
            <w:vAlign w:val="bottom"/>
          </w:tcPr>
          <w:p>
            <w:pPr>
              <w:pStyle w:val="TableContents"/>
              <w:bidi w:val="0"/>
              <w:spacing w:before="0" w:after="283"/>
              <w:jc w:val="left"/>
              <w:rPr/>
            </w:pPr>
            <w:r>
              <w:rPr/>
              <w:t> </w:t>
            </w:r>
          </w:p>
        </w:tc>
        <w:tc>
          <w:tcPr>
            <w:tcW w:w="5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2,190,041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Presented within aircraft rental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there were no components of the net investment in the Company’s leases under Topic 842.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Leasing Activities — Lessee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1(n), the Company leases office space, hangar space and aircraft. All of the Company’s leases are classified as operating leases. The Company’s leases are non-cancelable and expire on various terms through 2048.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the Company’s ROU assets and liabilities as of March 31, 2026 and December 31, 2025:</w:t>
      </w:r>
    </w:p>
    <w:tbl>
      <w:tblPr>
        <w:tblW w:w="7285" w:type="dxa"/>
        <w:jc w:val="left"/>
        <w:tblInd w:w="0" w:type="dxa"/>
        <w:tblLayout w:type="fixed"/>
        <w:tblCellMar>
          <w:top w:w="0" w:type="dxa"/>
          <w:left w:w="0" w:type="dxa"/>
          <w:bottom w:w="0" w:type="dxa"/>
          <w:right w:w="0" w:type="dxa"/>
        </w:tblCellMar>
      </w:tblPr>
      <w:tblGrid>
        <w:gridCol w:w="3901"/>
        <w:gridCol w:w="146"/>
        <w:gridCol w:w="286"/>
        <w:gridCol w:w="1126"/>
        <w:gridCol w:w="146"/>
        <w:gridCol w:w="329"/>
        <w:gridCol w:w="1351"/>
      </w:tblGrid>
      <w:tr>
        <w:trPr/>
        <w:tc>
          <w:tcPr>
            <w:tcW w:w="3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balances</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ROU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6,467,295</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r>
      <w:tr>
        <w:trPr/>
        <w:tc>
          <w:tcPr>
            <w:tcW w:w="39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6,467,295</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r>
      <w:tr>
        <w:trPr/>
        <w:tc>
          <w:tcPr>
            <w:tcW w:w="3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4,777,803</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r>
      <w:tr>
        <w:trPr/>
        <w:tc>
          <w:tcPr>
            <w:tcW w:w="39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1,495,218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r>
      <w:tr>
        <w:trPr/>
        <w:tc>
          <w:tcPr>
            <w:tcW w:w="39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6,273,021</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lease cost in the consolidated statements of income for the three months ended March 31, 2026 and 2025:</w:t>
      </w:r>
    </w:p>
    <w:tbl>
      <w:tblPr>
        <w:tblW w:w="6222" w:type="dxa"/>
        <w:jc w:val="left"/>
        <w:tblInd w:w="0" w:type="dxa"/>
        <w:tblLayout w:type="fixed"/>
        <w:tblCellMar>
          <w:top w:w="0" w:type="dxa"/>
          <w:left w:w="0" w:type="dxa"/>
          <w:bottom w:w="0" w:type="dxa"/>
          <w:right w:w="0" w:type="dxa"/>
        </w:tblCellMar>
      </w:tblPr>
      <w:tblGrid>
        <w:gridCol w:w="3061"/>
        <w:gridCol w:w="146"/>
        <w:gridCol w:w="286"/>
        <w:gridCol w:w="1126"/>
        <w:gridCol w:w="146"/>
        <w:gridCol w:w="286"/>
        <w:gridCol w:w="1171"/>
      </w:tblGrid>
      <w:tr>
        <w:trPr/>
        <w:tc>
          <w:tcPr>
            <w:tcW w:w="30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Quarters Ended</w:t>
            </w:r>
          </w:p>
        </w:tc>
      </w:tr>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cost(1)</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2025</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1,485,777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1,067,901</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19,493</w:t>
            </w:r>
          </w:p>
        </w:tc>
      </w:tr>
      <w:tr>
        <w:trPr/>
        <w:tc>
          <w:tcPr>
            <w:tcW w:w="30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1,546,185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1,087,752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components of lease cost are presented in aircraft rental expense, general and administrative, maintenance and direct costs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Leasing Activities — Lessee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future maturities of lease payments for operating leases for the periods after March 31, 2026:</w:t>
      </w:r>
    </w:p>
    <w:tbl>
      <w:tblPr>
        <w:tblW w:w="4215" w:type="dxa"/>
        <w:jc w:val="left"/>
        <w:tblInd w:w="0" w:type="dxa"/>
        <w:tblLayout w:type="fixed"/>
        <w:tblCellMar>
          <w:top w:w="0" w:type="dxa"/>
          <w:left w:w="0" w:type="dxa"/>
          <w:bottom w:w="0" w:type="dxa"/>
          <w:right w:w="0" w:type="dxa"/>
        </w:tblCellMar>
      </w:tblPr>
      <w:tblGrid>
        <w:gridCol w:w="2371"/>
        <w:gridCol w:w="146"/>
        <w:gridCol w:w="286"/>
        <w:gridCol w:w="1126"/>
        <w:gridCol w:w="286"/>
      </w:tblGrid>
      <w:tr>
        <w:trPr/>
        <w:tc>
          <w:tcPr>
            <w:tcW w:w="2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(remaining)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4,170,440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1,141,171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6,798,905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liability accretion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(525,884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6,273,021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weighted-average lease term and discount rate for operating leases as of March 31, 2026 and 2025:</w:t>
      </w:r>
    </w:p>
    <w:tbl>
      <w:tblPr>
        <w:tblW w:w="7420" w:type="dxa"/>
        <w:jc w:val="left"/>
        <w:tblInd w:w="0" w:type="dxa"/>
        <w:tblLayout w:type="fixed"/>
        <w:tblCellMar>
          <w:top w:w="0" w:type="dxa"/>
          <w:left w:w="0" w:type="dxa"/>
          <w:bottom w:w="0" w:type="dxa"/>
          <w:right w:w="0" w:type="dxa"/>
        </w:tblCellMar>
      </w:tblPr>
      <w:tblGrid>
        <w:gridCol w:w="4066"/>
        <w:gridCol w:w="146"/>
        <w:gridCol w:w="1381"/>
        <w:gridCol w:w="146"/>
        <w:gridCol w:w="168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 months</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 months</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cash activities associated with the Company’s leases for the three months ended March 31, 2026 and 2025:</w:t>
      </w:r>
    </w:p>
    <w:tbl>
      <w:tblPr>
        <w:tblW w:w="10205" w:type="dxa"/>
        <w:jc w:val="left"/>
        <w:tblInd w:w="0" w:type="dxa"/>
        <w:tblLayout w:type="fixed"/>
        <w:tblCellMar>
          <w:top w:w="0" w:type="dxa"/>
          <w:left w:w="0" w:type="dxa"/>
          <w:bottom w:w="0" w:type="dxa"/>
          <w:right w:w="0" w:type="dxa"/>
        </w:tblCellMar>
      </w:tblPr>
      <w:tblGrid>
        <w:gridCol w:w="6823"/>
        <w:gridCol w:w="146"/>
        <w:gridCol w:w="286"/>
        <w:gridCol w:w="1126"/>
        <w:gridCol w:w="146"/>
        <w:gridCol w:w="328"/>
        <w:gridCol w:w="1350"/>
      </w:tblGrid>
      <w:tr>
        <w:trPr/>
        <w:tc>
          <w:tcPr>
            <w:tcW w:w="68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7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350" w:type="dxa"/>
            <w:tcBorders/>
            <w:shd w:fill="CCEEFF" w:val="clear"/>
            <w:vAlign w:val="bottom"/>
          </w:tcPr>
          <w:p>
            <w:pPr>
              <w:pStyle w:val="TableContents"/>
              <w:bidi w:val="0"/>
              <w:spacing w:before="0" w:after="283"/>
              <w:jc w:val="left"/>
              <w:rPr/>
            </w:pPr>
            <w:r>
              <w:rPr/>
              <w:t> </w:t>
            </w:r>
          </w:p>
        </w:tc>
      </w:tr>
      <w:tr>
        <w:trPr/>
        <w:tc>
          <w:tcPr>
            <w:tcW w:w="682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1,833,373</w:t>
            </w:r>
          </w:p>
        </w:tc>
        <w:tc>
          <w:tcPr>
            <w:tcW w:w="146" w:type="dxa"/>
            <w:tcBorders/>
            <w:vAlign w:val="bottom"/>
          </w:tcPr>
          <w:p>
            <w:pPr>
              <w:pStyle w:val="TableContents"/>
              <w:bidi w:val="0"/>
              <w:spacing w:before="0" w:after="283"/>
              <w:jc w:val="left"/>
              <w:rPr/>
            </w:pPr>
            <w:r>
              <w:rPr/>
              <w:t> </w:t>
            </w:r>
          </w:p>
        </w:tc>
        <w:tc>
          <w:tcPr>
            <w:tcW w:w="3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4,315,651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Membership Classes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March 31, 2026 and December 31, 2025, the Company had two and three classes, respectively, of membership units outstanding. At March 31, 2026 Class A-1 and A-3 members held ownership interests of 84% and 16%, respectively. At December 31, 2025, Class A-1, Class A-2 and Class A-3 members held ownership interests of 54%, 36% and 10%, respectively. Class A-1 and Class A-2 represent the voting membership of the Company based on their respective ownership. The Company has the authority to issue an unlimited amount of additional membership units in the three current classes of membership units or issue additional classes of membership units.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certain outside Board of Directors’ investment in Class A-3 units in the Company, the Company received promissory notes in the same amount from such directors secured by the Company’s underlying membership units. These notes bear interest at 4% and are due at the earlier of ten years or a liquidity event, as defined in the note agreements. The membership interest can be purchased by the Company at any time at fair market value, or the director can exercise his right to sell up to 25% of the membership interest to the Company in any year beginning on the fifth anniversary of the measuring date (defined in the director’s equity ownership agreement as January 8, 2018). The notes receivable of $250,000 as of March 31, 2026 and December 31, 2025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certain employees’ investment in Class A-3 units in the Company, the Company received promissory notes in the same amount from such employees secured by the Company’s underlying membership units. These notes bear interest at 4% and are due at the earlier of ten years or a liquidity event, as defined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Membership Classes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agreements. The membership interest can be purchased by the Company at any time at fair market value, or the employee can exercise their right to sell up to 25% of the membership interest to the Company in any year beginning on the fifth anniversary of the measuring date (defined in the Management Equity Ownership Agreements as of July 10, 2020, January 1, 2021, January 23, 2023, March 13, 2023, and January 1, 2024). On October 1, 2022, the Company assigned its rights in these note agreements to Managers Equity, LLC. The notes receivable of $2,062,500 as of March 31, 2026 and December 31, 2025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in conjunction with the refinancing transactions described in Note 4, the Company completed a member unit redemption transaction in which 4,500,000 Class A-2 membership units and 180,000 Class A-1 membership units were redeemed and retired for a total of $78,000,000.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obligations of the equity holders of the Company (the members) are governed by an operating agreement. The operating agreement provides that the members of the Company will not be liable for obligations or liabilities of the Company, except to the extent provided by the Delaware Limited Liability Company Act of the State of Delaware.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limited liability statutes of Delaware, a person who is a member of a limited liability company is not liable for a debt, obligation or liability of the limited liability company, whether arising in contract, tort or otherwise or for the acts or omissions of any other member, agent or employee of the limited liability 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2026 and 2025, the Company paid tax distributions to its members $29,581 and $3,309,719,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Subordinated Term Loan was principally provided by the Class A-2 members until it was refinanced on January 7, 2026 (see Note 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management fees to an affiliate that has common ownership with the Company. Total management fees and expense reimbursements incurred relating to these transactions totaled $859,847 and $0, respectively, for three months ended March 31, 2026. Total management fees and expense reimbursements incurred relating to these transactions with this entity and other members of management totaled $672,005 and $0, respectively, for the three months ended March 31, 2025. These management fees and expense reimbursements are included in other costs and expenses on the consolidated statements of income. In addition, in conjunction with the redemption of certain membership interests on January 7, 2026, the Company paid $1,000,000 to this affiliate for services performed related to this transaction. This amount is included in equity on the consolidated balance sheets. Please see Note 8 for additional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recognized reimbursements for aircraft usage and other costs of $68,285 and $6,889 from these affiliates for the three months ended March 31, 2026 and 2025, respectively. TAH incurred fees for director and consulting services totaling $126,993 and $143,410 paid to the Board of Directors of the Company for the three months ended March 31, 2026 and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aircraft maintenance and modification fees to Stevens Aerospace and Defense Systems, LLC (Stevens), a company with common ownership. During the three months ended March 31, 2026, the Company incurred costs of $221,302 payable to Stevens, of which $0 was capitalized. During the three months ended March 31, 2025, the Company incurred costs of $608,160 payable to Stevens, of which $0 was capitalized.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avionic related services from and provides services to companies owned or controlled by the former owner and current officer of DST (see Note 2). The net service costs incurred by the Company totaled $21,967 and $37,393, respectively, during the three months ended March 31, 2026 and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TAH issued six notes receivable to two members of management. The notes bear interest at 4% and are due at the earlier of ten years or a liquidity event, as defined in the note agreements. The notes receivable of $435,788 and $431,735, which include accrued interest, as of March 31, 2026 and December 31, 2025, respectively, are included as a receivable to TAH within other noncurrent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costs of $0 and $372,500 for the three months ended March 31, 2026 and 2025, respectively, payable to Overwatch, of which $372,500 was capitalized in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payable to related parties as of March 31, 2026 and December 31, 2025 totaled $17,217 and $37,993, respectively. Amounts receivable from related parties as of March 31, 2026 and December 31, 2025 totaled $485,131 and $432,735,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Profit Sharing Plan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TM, LLC has a 401(k) profit sharing plan covering substantially all employees. Employees are eligible for matching contributions equal to 100% of their contribution up to 4% of employees’ salaries. Employer contributions to the plan for the three months ended March 31, 2026 and 2025 were $113,758 and $94,058,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DST has a 401(k) profit sharing plan covering substantially all employees. Employees are eligible for matching contributions equal to 100% of their contribution up to 4% of employees’ salaries. In addition, DST elected to make discretionary profit-sharing contributions in 2026 and 2025. Employer contributions to the plan for the three months ended March 31, 2026 and 2025 were $564,833 and $338,387,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Significant Concentrations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earned 57% and 77% of its revenues from two customers for the three months ended March 31, 2026 and 2025, respectively, which receive funding primarily through government contracts. These two customers accounted for approximately 44% and 59% of accounts receivable at March 31, 2026 and 2025,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Assets Held for Sale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classified certain aircraft as assets held for sale after determining that the criteria for held-for-sale classification under ASC 205-20 and ASC 360-10 were met. The assets were reclassified from property and equipment, net, to current assets within “Assets held for sale” on the consolidated balance sheets.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and December 31, 2025, assets held for sale consisted of three and no aircraft, respectively, with an aggregate carrying amount of $27,077,828 and $0, respectively. The assets were measured at the lower of carrying amount or fair value less cost to sell, and no impairment charge was recognized upon classification.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expect the disposition of these assets to represent a strategic shift that has, or will have, a major effect on its operations or financial results. Accordingly, the assets held for sale are not presented as discontinued operations.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Warrants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refinancing and recapitalization transactions completed on January 7, 2026 (see Notes 4 and 8), the Company issued four warrant agreements to certain lenders participating in the refinancing transaction. Each warrant agreement was executed contemporaneously and contains substantively identical terms. Accordingly, the warrants are accounted for and presented on a combined basis as a single class of warrants (collectively,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provide the holders with the right to purchase an aggregate of 411,579 Class A-2 membership units of the Company. The Warrants were issued in conjunction with the Company’s entry into a new subordinated credit facility and related second lien financing arrangements (see Note 4). The Warrants were initially measured at fair value with the debt proceeds allocated between the debt and the warrants using the residual value, with the offset recorded as additional debt discount.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have a weighted-average exercise price of $16.67 per unit and are exercisable, in whole or in part, at any time from the issuance date through January 7, 2036, unless earlier exercised or terminated in connection with a Company Sale Event, as defined in the Company’s amended and restated limited liability company agreement.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may be exercised through either: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settlement,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Net (cashless) settlement, whereby the Company withholds a number of Class A-2 units with an aggregate fair value equal to the exercise price.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units are issued upon exercise; any fractional interests are settled in cash. Upon exercise, the holder becomes a member of the Company and is subject to the provisions of the Company’s amended and restated limited liability company agreement.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Company Sale Event, the Warrants are subject to automatic exercise and entitle the holders to receive consideration equal to the intrinsic value of the Warrants, payable in cash, equity securities or a combination thereof, consistent with the form of consideration received by holders of Class A-2 units.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Accounting Treatment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Warrants represent freestanding financial instruments of the Company. The Company evaluated the Warrants under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as well as other applicable accounting guidance, to determine their appropriate classification and measurement.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Warrants include a put feature that would require the Company to repurchase the underlying equity interests for cash, the Warrants are classified as liabilities. The warrant liabilities were initially measured at fair value on the issuance date using a Black Scholes valuation model and are remeasured at fair value at each reporting date, with changes in fair value recognized in earnings. The warrant liabilities are included in other long-term liabilities on the balance sheet. The change in fair value for the three months ended March 31, 2026 was a gain of $54,740.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contain customary anti-dilution provisions that provide for adjustments to the number of Class A-2 units issuable upon exercise and/or the exercise price in the event of certain equity issuances, unit splits, reclassifications, business combinations or other dilutive events, subject to specified exclusions.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and the Class A-2 units issuable upon exercise are restricted securities and may not be transferred except in compliance with applicable federal and state securities laws and the Company’s limited liability company agreement. Transfers to natural persons are prohibited.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Subsequent Events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through June 24, 2026, the date on which these consolidated financial statements were available to be issued and determined that no subsequent events occurred that require recognition or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2400" w:right="0" w:firstLine="480"/>
        <w:jc w:val="left"/>
        <w:rPr>
          <w:rFonts w:ascii="Times New Roman PS Std;serif" w:hAnsi="Times New Roman PS Std;serif"/>
          <w:b w:val="false"/>
          <w:i w:val="false"/>
          <w:caps w:val="false"/>
          <w:smallCaps w:val="false"/>
          <w:sz w:val="20"/>
        </w:rPr>
      </w:pPr>
      <w:bookmarkStart w:id="108" w:name="T518"/>
      <w:bookmarkEnd w:id="108"/>
      <w:r>
        <w:rPr>
          <w:rFonts w:ascii="Times New Roman PS Std;serif" w:hAnsi="Times New Roman PS Std;serif"/>
          <w:b w:val="false"/>
          <w:i w:val="false"/>
          <w:caps w:val="false"/>
          <w:smallCaps w:val="false"/>
          <w:sz w:val="20"/>
        </w:rPr>
        <w:t>KPMG LLP</w:t>
        <w:br/>
        <w:t>Suite 1700</w:t>
        <w:br/>
        <w:t xml:space="preserve">100 North Tampa Street </w:t>
        <w:br/>
        <w:t xml:space="preserve">Tampa, FL 33602-5145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Tenax Aerospace Acquisition,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consolidated financial statements of Tenax Aerospace Acquisition, LLC and its subsidiaries (the Company), which comprise the consolidated balance sheets as of December 31, 2025 and 2024, and the related consolidated statements of income, equity, and cash flows for each of the years in the three-year period ended December 31, 2025, and the related notes to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consolidated financial statements present fairly, in all material respects, the financial position of the Company as of December 31, 2025 and 2024, and the results of its operations and its cash flows for each of the years in the three-year period ended December 31, 2025 in accordance with U.S. generally accepted accounting principles.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Responsibilities of Management for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Auditors’ Responsibilities for the Audit of the Consolidated Financial Statements</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keepNext w:val="false"/>
        <w:pageBreakBefore w:val="false"/>
        <w:widowControl/>
        <w:pBdr/>
        <w:bidi w:val="0"/>
        <w:spacing w:before="0" w:after="283"/>
        <w:ind w:left="1660" w:right="164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KPMG LLP, a Delaware limited liability partnership, and its subsidiaries are part of </w:t>
        <w:br/>
        <w:t xml:space="preserve">the KPMG global organization of independent member firms affiliated with KPMG </w:t>
        <w:br/>
        <w:t>International Limited, a private English company limited by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162050" cy="2495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62050" cy="2495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Tampa, Florida </w:t>
        <w:br/>
        <w:t>April 15,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9" w:name="T519"/>
      <w:bookmarkEnd w:id="109"/>
      <w:r>
        <w:rPr>
          <w:rFonts w:ascii="Times New Roman PS Std;serif" w:hAnsi="Times New Roman PS Std;serif"/>
          <w:b/>
          <w:i w:val="false"/>
          <w:caps w:val="false"/>
          <w:smallCaps w:val="false"/>
          <w:sz w:val="20"/>
        </w:rPr>
        <w:t>TENAX AEROSPACE ACQUISITION, LLC</w:t>
        <w:br/>
        <w:t>Consolidated Balance Sheets</w:t>
        <w:br/>
        <w:t xml:space="preserve">December 31, 2025 and 2024 </w:t>
      </w:r>
    </w:p>
    <w:tbl>
      <w:tblPr>
        <w:tblW w:w="10205" w:type="dxa"/>
        <w:jc w:val="left"/>
        <w:tblInd w:w="0" w:type="dxa"/>
        <w:tblLayout w:type="fixed"/>
        <w:tblCellMar>
          <w:top w:w="0" w:type="dxa"/>
          <w:left w:w="0" w:type="dxa"/>
          <w:bottom w:w="0" w:type="dxa"/>
          <w:right w:w="0" w:type="dxa"/>
        </w:tblCellMar>
      </w:tblPr>
      <w:tblGrid>
        <w:gridCol w:w="6152"/>
        <w:gridCol w:w="146"/>
        <w:gridCol w:w="286"/>
        <w:gridCol w:w="1366"/>
        <w:gridCol w:w="206"/>
        <w:gridCol w:w="146"/>
        <w:gridCol w:w="286"/>
        <w:gridCol w:w="1366"/>
        <w:gridCol w:w="251"/>
      </w:tblGrid>
      <w:tr>
        <w:trPr/>
        <w:tc>
          <w:tcPr>
            <w:tcW w:w="61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5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24,339,179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13,037,728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7,696,387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5,124,990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5,135,605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33,548,473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24,893,084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of accumulated 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117,103,176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 net of accumulated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47,987,287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net investment in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16,001,115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8,967,102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11,487,924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257,622,961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Liabilities and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14,062,500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7,326,106</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10,040,157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4,060,831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1,736,529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7,511,864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3,853,013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38,966,446</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39,528,365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 of deferred financing costs and unamortized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189,760,970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Line of credit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6,650,000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788,098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long-term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long-term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2,891,011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712,049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248,774,452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197,940,079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287,740,898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237,468,444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notes receivable for purchase of membership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257,622,961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0" w:name="T520"/>
      <w:bookmarkEnd w:id="110"/>
      <w:r>
        <w:rPr>
          <w:rFonts w:ascii="Times New Roman PS Std;serif" w:hAnsi="Times New Roman PS Std;serif"/>
          <w:b/>
          <w:i w:val="false"/>
          <w:caps w:val="false"/>
          <w:smallCaps w:val="false"/>
          <w:sz w:val="20"/>
        </w:rPr>
        <w:t>TENAX AEROSPACE ACQUISITION, LLC</w:t>
        <w:br/>
        <w:t>Consolidated Statements of Income</w:t>
        <w:br/>
        <w:t xml:space="preserve">Years Ended December 31, 2025, 2024 and 2023 </w:t>
      </w:r>
    </w:p>
    <w:tbl>
      <w:tblPr>
        <w:tblW w:w="10205" w:type="dxa"/>
        <w:jc w:val="left"/>
        <w:tblInd w:w="0" w:type="dxa"/>
        <w:tblLayout w:type="fixed"/>
        <w:tblCellMar>
          <w:top w:w="0" w:type="dxa"/>
          <w:left w:w="0" w:type="dxa"/>
          <w:bottom w:w="0" w:type="dxa"/>
          <w:right w:w="0" w:type="dxa"/>
        </w:tblCellMar>
      </w:tblPr>
      <w:tblGrid>
        <w:gridCol w:w="4043"/>
        <w:gridCol w:w="146"/>
        <w:gridCol w:w="286"/>
        <w:gridCol w:w="1366"/>
        <w:gridCol w:w="241"/>
        <w:gridCol w:w="146"/>
        <w:gridCol w:w="286"/>
        <w:gridCol w:w="1366"/>
        <w:gridCol w:w="241"/>
        <w:gridCol w:w="146"/>
        <w:gridCol w:w="286"/>
        <w:gridCol w:w="1366"/>
        <w:gridCol w:w="286"/>
      </w:tblGrid>
      <w:tr>
        <w:trPr/>
        <w:tc>
          <w:tcPr>
            <w:tcW w:w="404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0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58,986,101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49,004,311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2,018,588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133,443,453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128,614,050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115,137,724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36,356,940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3,335,431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7,241,337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2,202,750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1,514,232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62,018,066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65,939,696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57,192,593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71,425,387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62,674,354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57,945,131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18,545,660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16,215,766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6,877,818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8,014,645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1,798,377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29,277,863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27,711,439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29,688,747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42,147,524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34,962,915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28,256,384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(22,389,927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(23,498,854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(23,069,097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325,243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(1,198,471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(863,078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(23,563,808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(24,386,218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(23,606,932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1" w:name="T521"/>
      <w:bookmarkEnd w:id="111"/>
      <w:r>
        <w:rPr>
          <w:rFonts w:ascii="Times New Roman PS Std;serif" w:hAnsi="Times New Roman PS Std;serif"/>
          <w:b/>
          <w:i w:val="false"/>
          <w:caps w:val="false"/>
          <w:smallCaps w:val="false"/>
          <w:sz w:val="20"/>
        </w:rPr>
        <w:t>TENAX AEROSPACE ACQUISITION, LLC</w:t>
        <w:br/>
        <w:t>Consolidated Statements of Equity</w:t>
        <w:br/>
        <w:t xml:space="preserve">Years Ended December 31, 2025, 2024 and 2023 </w:t>
      </w:r>
    </w:p>
    <w:tbl>
      <w:tblPr>
        <w:tblW w:w="9280" w:type="dxa"/>
        <w:jc w:val="left"/>
        <w:tblInd w:w="0" w:type="dxa"/>
        <w:tblLayout w:type="fixed"/>
        <w:tblCellMar>
          <w:top w:w="0" w:type="dxa"/>
          <w:left w:w="0" w:type="dxa"/>
          <w:bottom w:w="0" w:type="dxa"/>
          <w:right w:w="0" w:type="dxa"/>
        </w:tblCellMar>
      </w:tblPr>
      <w:tblGrid>
        <w:gridCol w:w="3436"/>
        <w:gridCol w:w="146"/>
        <w:gridCol w:w="286"/>
        <w:gridCol w:w="1246"/>
        <w:gridCol w:w="241"/>
        <w:gridCol w:w="146"/>
        <w:gridCol w:w="300"/>
        <w:gridCol w:w="1262"/>
        <w:gridCol w:w="253"/>
        <w:gridCol w:w="146"/>
        <w:gridCol w:w="286"/>
        <w:gridCol w:w="1246"/>
        <w:gridCol w:w="286"/>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Member’s </w:t>
              <w:br/>
              <w:t>equity</w:t>
            </w:r>
          </w:p>
        </w:tc>
        <w:tc>
          <w:tcPr>
            <w:tcW w:w="146" w:type="dxa"/>
            <w:tcBorders/>
            <w:vAlign w:val="bottom"/>
          </w:tcPr>
          <w:p>
            <w:pPr>
              <w:pStyle w:val="TableContents"/>
              <w:bidi w:val="0"/>
              <w:spacing w:before="0" w:after="283"/>
              <w:jc w:val="left"/>
              <w:rPr/>
            </w:pPr>
            <w:r>
              <w:rPr/>
              <w:t> </w:t>
            </w:r>
          </w:p>
        </w:tc>
        <w:tc>
          <w:tcPr>
            <w:tcW w:w="181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Notes </w:t>
              <w:br/>
              <w:t xml:space="preserve">receivable from </w:t>
              <w:br/>
              <w:t>members</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14,197,303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(1,187,500</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13,009,803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membership interests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19,647,728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(2,187,500</w:t>
            </w:r>
          </w:p>
        </w:tc>
        <w:tc>
          <w:tcPr>
            <w:tcW w:w="2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17,460,228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membership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2" w:name="T522"/>
      <w:bookmarkEnd w:id="112"/>
      <w:r>
        <w:rPr>
          <w:rFonts w:ascii="Times New Roman PS Std;serif" w:hAnsi="Times New Roman PS Std;serif"/>
          <w:b/>
          <w:i w:val="false"/>
          <w:caps w:val="false"/>
          <w:smallCaps w:val="false"/>
          <w:sz w:val="20"/>
        </w:rPr>
        <w:t>TENAX AEROSPACE ACQUISITION, LLC</w:t>
        <w:br/>
        <w:t>Consolidated Statements of Cash Flows</w:t>
        <w:br/>
        <w:t xml:space="preserve">Years Ended December 31, 2025, 2024 and 2023 </w:t>
      </w:r>
    </w:p>
    <w:tbl>
      <w:tblPr>
        <w:tblW w:w="10205" w:type="dxa"/>
        <w:jc w:val="left"/>
        <w:tblInd w:w="0" w:type="dxa"/>
        <w:tblLayout w:type="fixed"/>
        <w:tblCellMar>
          <w:top w:w="0" w:type="dxa"/>
          <w:left w:w="0" w:type="dxa"/>
          <w:bottom w:w="0" w:type="dxa"/>
          <w:right w:w="0" w:type="dxa"/>
        </w:tblCellMar>
      </w:tblPr>
      <w:tblGrid>
        <w:gridCol w:w="3938"/>
        <w:gridCol w:w="146"/>
        <w:gridCol w:w="286"/>
        <w:gridCol w:w="1441"/>
        <w:gridCol w:w="241"/>
        <w:gridCol w:w="146"/>
        <w:gridCol w:w="286"/>
        <w:gridCol w:w="1441"/>
        <w:gridCol w:w="241"/>
        <w:gridCol w:w="146"/>
        <w:gridCol w:w="286"/>
        <w:gridCol w:w="1321"/>
        <w:gridCol w:w="286"/>
      </w:tblGrid>
      <w:tr>
        <w:trPr/>
        <w:tc>
          <w:tcPr>
            <w:tcW w:w="39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r>
      <w:tr>
        <w:trPr/>
        <w:tc>
          <w:tcPr>
            <w:tcW w:w="39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18,329,965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15,255,982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 and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795,644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747,838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649,768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interest rate cap and interest rate swap,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863,156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1,171,223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aircraft and disposal of other fixed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(1,917,716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(379,178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in-kind (PIK)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interest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in excess of acquisition-date fair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(519,013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(2,962,833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 net of acquisition: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(11,301,451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3,079,384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(4,661,461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(1,171,397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3,126,816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(5,521,360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1,388,362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902,491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(286,237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(2,714,051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4,176,700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1,639,607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(5,063,286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6,558,473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193,922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(350,740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370,286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16,421,127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44,784,996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17,402,693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(69,833,604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(12,912,077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(44,091,980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on purchases of property and equipment, net of refunds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(2,850,539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(7,124,367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(8,043,112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5,624,845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12,607,011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1,255,623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net of cash acquired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(1,764,380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(67,059,298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(7,834,703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(52,643,849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39,393,500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(208,951,096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(206,327,605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(13,521,972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line of credit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86,273,483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49,398,327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27,828,463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line of credit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(80,411,581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(59,938,692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(903,358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(1,316,699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(251,201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up to acquisition-date fair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50,556,317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(40,950,077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35,749,763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(3,999,784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5,594,545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5,085,938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5,594,545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flows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including PIK interest paid of $0, $750,000, and $0 in 2025, 2024 and 2023,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21,583,684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22,887,675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23,062,443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from property and equipment to (from) net investment in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(21,400,002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11,165,530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3" w:name="T523"/>
      <w:bookmarkEnd w:id="113"/>
      <w:r>
        <w:rPr>
          <w:rFonts w:ascii="Times New Roman PS Std;serif" w:hAnsi="Times New Roman PS Std;serif"/>
          <w:b/>
          <w:i w:val="false"/>
          <w:caps w:val="false"/>
          <w:smallCaps w:val="false"/>
          <w:sz w:val="20"/>
        </w:rPr>
        <w:t>TENAX AEROSPACE ACQUISITIONS, LLC</w:t>
        <w:br/>
        <w:t>Notes to Consolidated Financial Statements</w:t>
        <w:br/>
        <w:t xml:space="preserve">December 31, 2025, 2024 and 2023 </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Nature of Operations, Corporate Structure, and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Nature of Operations and Corporate Structure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 (the Company) was formed in 2017 as a limited liability company under the Delaware Limited Liability Company Act to be the holding company of Tenax Aerospace Holdings, LLC (TAH).</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the Company is conducted by its wholly owned subsidiary, TAH and its subsidiaries. TAH earns revenues predominantly through providing special mission aircraft and related services to the United States (U.S.) government and commercial customers, including aerial fire suppression, airborne ISR and other special missions. Additionally, the Company generates revenue through selling systems engineering, electronic system design development, integration and modification, mapping and testing, sensor testing, training and live operations and support to the federal government and government contractors in the U.S.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Principles of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the Company and its wholly owned subsidiary, Tenax Holdco, LLC (Holdco). Tenax Intermediate Holdco, LLC (Intermediate Holdco) is wholly owned by Holdco, and TAH is a wholly owned subsidiary of Intermediate Holdco.</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TAH’s wholly owned subsidiaries include Tenax Aerospace, LLC (Tenax Aerospace), Tenax Air Services, LLC, Tenax TM, LLC, and Tenax Pilot Services, LLC. On December 22, 2022, TAH, through a newly formed wholly owned subsidiary, DST Acquisition, LLC, acquired DS Technologies, LLC; Falcon Air Service, LLC; N72FE, LLC; N807EV, LLC and JIRO84, LLC (collectively DST).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significant intercompany accounts and transactions have been eliminated in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have been prepared in accordance with U.S. generally accepted accounting principles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Use of Estimates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stated at the amount the Company expects to collect from outstanding balances. The Company provides an allowance for credit losses, which is based upon a review of outstanding receivables, historical collection information, current market conditions and reasonable and supportable forecasts of future economic conditions. No allowance for credit losses was deemed necessary as of December 31, 2025 and 2024.</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acquisitions are recorded at cost and are depreciated on a straight — line basis over the estimated useful life of each asset, which ranges from 1 to 15 years, with estimated salvage values primarily ranging from 0% to 20%. Special mission — related modifications to aircraft are depreciated over the useful life of the aircraft when such modifications provide utility beyond the specific lease arrangement. If the mission — specific modifications provide no long — term value, such custom modifications are depreciated over the expected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summarized as follows at December 31, 2025 and 2024:</w:t>
      </w:r>
    </w:p>
    <w:tbl>
      <w:tblPr>
        <w:tblW w:w="7274" w:type="dxa"/>
        <w:jc w:val="left"/>
        <w:tblInd w:w="0" w:type="dxa"/>
        <w:tblLayout w:type="fixed"/>
        <w:tblCellMar>
          <w:top w:w="0" w:type="dxa"/>
          <w:left w:w="0" w:type="dxa"/>
          <w:bottom w:w="0" w:type="dxa"/>
          <w:right w:w="0" w:type="dxa"/>
        </w:tblCellMar>
      </w:tblPr>
      <w:tblGrid>
        <w:gridCol w:w="3151"/>
        <w:gridCol w:w="146"/>
        <w:gridCol w:w="286"/>
        <w:gridCol w:w="1366"/>
        <w:gridCol w:w="241"/>
        <w:gridCol w:w="146"/>
        <w:gridCol w:w="286"/>
        <w:gridCol w:w="1366"/>
        <w:gridCol w:w="28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218,790,984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144,530,350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22,396,778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9,733,053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955,119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835,030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3,677,973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3,579,193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245,820,854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158,677,626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(51,189,006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(41,574,450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117,103,176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Financing Costs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debt during 2025 and 2024, the Company incurred financing costs totaling approximately $903,000 and $1,317,000, respectively. These costs have been deferred and are being amortized over the term of the related debt. Amortization expense is included in interest expense in the accompanying consolidated statements of income and approximated $739,000, $622,000 and $556,000 for the years ended December 31, 2025, 2024 and 2023, respectively. The remaining unamortized deferred financing cost is shown net of long-term debt in the accompanying consolidated balance sheets. See Note 4 for additional information about long-term debt.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 Impairment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recoverability of the carrying value of long-lived assets, such as property and equipment and purchased intangible assets subject to amortization, whenever events or circumstances indicate the carrying amount may not be recoverable. If a long 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 lived asset exceeds its fair value.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asset impairment was recognized during the years ended December 31, 2025, 2024 and 2023.</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Investment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a total interest of 5.922% in Overwatch Imaging, LLC (Overwatch) at December 31, 2025 and 2024 and accounts for this investment using the modified cost method. The Company did not buy or sell any shares in 2025 or 2024. The amount recorded as the investment in Overwatch at December 31, 2025 and 2024 was $1,357,048 and was included in other noncurrent assets on the consolidated balance sheets.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Goodwill and Other Intangible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purchase price over the estimated fair value of net assets acquired in a business combination. Goodwill is tested annually for impairment or more frequently if impairment indicators are present.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with estimable or determinable useful lives are amortized over their respective estimated useful lives in a manner that approximates the economic benefits consumed and are periodically reviewed for impairment.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will be taxed as a partnership for both federal and state income tax purposes. Taxable income or loss is therefore reported to the individual members for inclusion in their respective tax returns, and no provision for federal and state income taxes is included in these consolidated financial statements.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Revenue Recognition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Service and product income </w:t>
      </w:r>
      <w:r>
        <w:rPr>
          <w:rFonts w:ascii="Times New Roman PS Std;serif" w:hAnsi="Times New Roman PS Std;serif"/>
          <w:b w:val="false"/>
          <w:i w:val="false"/>
          <w:caps w:val="false"/>
          <w:smallCaps w:val="false"/>
          <w:sz w:val="20"/>
        </w:rPr>
        <w:t>is recognized in accordance with ASC Topic 606, Revenue from Contracts with Customers, when the Company satisfies its performance obligations under the terms of its contracts and control of goods or services is transferred to customers in an amount that reflects the consideration the Company expects to receive. This process includes identifying the contract with a customer, identifying distinct performance obligations, determining the transaction price, allocating the transaction price to performance obligations based on relative standalone selling prices, and recognizing revenue as the performance obligations are satisfied.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 is primarily generated from government contracts. The Company’s subsidiary, DST, provides specially modified aircraft for aerial sensor testing, training, and live operations, as well as unmanned aircraft systems, maritime services, logistical support and aircraft modification services. Because DST retains a substantive right of substitution, these arrangements do not constitute leases under ASC Topic 842. Revenue from these contracts is generally recognized over time as services are performed. For performance obligations satisfied over time, revenue is recognized using methods that best depict the transfer of control to the customer, including the right-to-invoice method, straight-line recognition, or the percentage-of-completion cost-to-cost method.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the practical expedient to not separate lease and non-lease components for certain operating leases that meet the criteria under ASC Topic 842. Services associated with these arrangements, including operations performed outside the continental United States, are generally provided under fixed-price contracts. Revenue from fixed-price service contracts is recognized over the contractual service period based on the related performance obligations. For sales-type leases, lease components are accounted for under ASC Topic 842, while non-lease components, including modification, operations, and maintenance services, are accounted for under ASC Topic 606.</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rental income </w:t>
      </w:r>
      <w:r>
        <w:rPr>
          <w:rFonts w:ascii="Times New Roman PS Std;serif" w:hAnsi="Times New Roman PS Std;serif"/>
          <w:b w:val="false"/>
          <w:i w:val="false"/>
          <w:caps w:val="false"/>
          <w:smallCaps w:val="false"/>
          <w:sz w:val="20"/>
        </w:rPr>
        <w:t>is derived from operating leases of aircraft. The Company recognizes aircraft rental income on a straight-line basis over the non-cancelable term of the lease in accordance with Financial Accounting Standards Codification (“ASC”) Topic 842,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flight hour income </w:t>
      </w:r>
      <w:r>
        <w:rPr>
          <w:rFonts w:ascii="Times New Roman PS Std;serif" w:hAnsi="Times New Roman PS Std;serif"/>
          <w:b w:val="false"/>
          <w:i w:val="false"/>
          <w:caps w:val="false"/>
          <w:smallCaps w:val="false"/>
          <w:sz w:val="20"/>
        </w:rPr>
        <w:t>represents variable consideration under aircraft lease arrangements and is recognized as flight hours are flown at the contractual hourly rates specified in the related lease agreements.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Other income </w:t>
      </w:r>
      <w:r>
        <w:rPr>
          <w:rFonts w:ascii="Times New Roman PS Std;serif" w:hAnsi="Times New Roman PS Std;serif"/>
          <w:b w:val="false"/>
          <w:i w:val="false"/>
          <w:caps w:val="false"/>
          <w:smallCaps w:val="false"/>
          <w:sz w:val="20"/>
        </w:rPr>
        <w:t>consists of miscellaneous revenue items that are recognized when earned and realizable, including cost-reimbursable items such as travel and other direct costs that are billed to customers.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include direct material and labor costs and indirect costs related to contract performance. Selling, general, and administrative costs are expensed as incurred. Provisions for estimated losses on uncompleted contracts are recognized in the period such losses are identified. Revisions to cost estimates and profitability are recognized in the period in which changes are determined.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Company’s contracts are for one-year terms with annual renewal options. Accordingly, for those contracts, contract-related assets and liabilities are classified as current. Due to the inherent uncertainty in estimating costs and revenues, it is reasonably possible that estimates used in revenue recognition may change in the near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Fair Value Measurements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   Leases-Lessor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business, enters into lease arrangements with its customers that grant the customer the right to use one or more specific modified aircraft. The arrangements range from a dry lease that is limited to the lease of the aircraft with certain other services provided (e.g., maintenance services) to a wet lease where the Company not only supplies the aircraft but also supplies the crew and provides certain other services (e.g., maintenance and certain mission specific services). The Company determines if an arrangement with its customer is or contains a lease at the lease inception date by evaluating whether the arrangement conveys the right to use an identified asset and whether the customer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determined that the contract is or contains a lease, the Company then assesses lease classification considering the lease term and assumptions that exist at the lease commencement date. Depending on this assessment, the Company will account for its lease agreements as either operating, direct financing, or sales type leases, with the resulting accounting dependent on the lease classification.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classified as operating leases, the underlying aircraft remains on the Company’s consolidated balance sheets and continues to be depreciated in accordance with the Company’s depreciation policies for similar assets. Rental income for operating leases is recognized on a straight- line basis over the lease term. For the leases that are classified as direct financing or sales type leases, the aircraft is derecognized, and a net investment in the leased aircraft is recognized on the Company’s consolidated balance sheet. The net investment consists of a lease receivable and the expected unguaranteed residual value of the leased aircraft, each of which is determined on a discounted basis. The expected unguaranteed residual value of the aircraft is based on the Company’s estimate of the value of the aircraft at the expiration of the lease. Interest income is recognized on the net investment in the lease using the effective interest method to produce a consistent yield over the lease term.</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lease agreements with its customers include fixed lease payments and, in certain scenarios, variable lease payments based on the number of flight hours. In addition to the lease payments, certain of the Company’s contracts include non-lease components which come in various forms, such as maintenance services, flight crew, technicians, and fuel. Topic 842 requires that the consideration in the contract be allocated between lease and non-lease components on a relative standalone selling price basis, unless a provided practical expedient is elected. Specifically, Topic 842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includes a practical expedient that permits a lessor, as an accounting policy election by underlying asset class, to choose not to separate non lease components from lease components when the lease component, if accounted for separately, would be classified as an operating lease and when the timing and pattern of transfer for the lease and non-lease components associated with the lease component are the same. The Company has elected this practical expedient for all of its customer aircraft lease agreements that meet these conditions.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the lease term at the lease commencement date. The lease term is defined as the noncancelable period plus any period subject to a renewal option that is deemed reasonably certain of being exercised or subject to a termination option that is reasonably certain of not being exercised. Certain of the Company’s lease contracts do include renewal options that allow the customer to extend the lease term for an additional period of 6 months to 5 years. The Company typically does not include the renewal options as part of the lease term, as it does not believe that it is reasonably certain that such options will be exercised.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lessor leasing activity in Note 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    Leases-Lessee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hangar space and an aircraft under operating leases. The aircraft subject to an operating lease agreement is used as part of the Company’s core operations and leased to a certain customer via a sublease.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defines a short-term lease as a lease with a lease term of twelve months or less and that does not include a purchase option that is reasonably certain of being exercised. A lessee, as an accounting policy, can elect to not recognize short-term leases on the balance sheet, but rather recognize the related lease cost on a straight-line basis over the short-term lease period. The Company has elected this policy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lease commencement date, the Company recognizes a lease liability and a ROU asset representing its right to use the underlying asset over the lease term. The initial measurement of the lease liability is calculated on the basis of the present value of the remaining lease payments, and the ROU asset is measured on the basis of this liability, and adjusted as necessary by prepaid and accrued rent, lease incentives, and initial direct costs. The subsequent measurement of a lease is dependent on whether the lease is classified as an operating lease or a finance lease. Operating lease cost is recognized on a straight- line basis over the lease term in the consolidated statement of income. Finance lease cost is comprised of separate interest and amortization components and is presented in the consolidated statement of income. The Company’s leasing activities are currently limited to operating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the consideration in the contract be allocated between lease and non-lease components on a relative standalone price basis unless a provided practical expedient is elected. Specifically, Topic 842 includes a practical expedient that permits a lessee, as an accounting policy election by underlying asset class, to choose not to separate lease and non-lease components and instead account for the separate lease component and associated non lease components on a combined basis. The Company has elected to apply this practical expedient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leases acquired in business combinations, the Company will retain the lease classification used by the acquiree unless the Company modifies a lease in a manner that is not accounted for as a separate contract. For leases in which the acquiree was the lessee, the Company will measure the lease liability at the present value of the remaining lease payments, as if the acquired lease were a new lease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at the acquisition date. The Company will measure the ROU asset at the same amount as the lease liability as adjusted to reflect favorable or unfavorable terms of the lease when compared with market terms. Acquired leasehold improvements will be amortized over the shorter of the useful life of the assets and the remaining lease term at the date of acquisition. However, if the lease transfers ownership of the underlying asset to the lessee, or the lessee is reasonably certain to exercise an option to purchase the underlying asset, the lessee shall amortize the leasehold improvements to the end of their useful life.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require other payments such as costs related to service components, real estate taxes, common area maintenance, and insurance. These costs are generally variable in nature and based on the actual costs incurred and required by the lease. As the result of the Company’s election to not separate lease and non-lease components, all variable costs associated with the lease are expensed in the period incurred and presented and disclosed as variable lease costs. The Company’s lease agreements do not contain any residual value guarantees or material restrictive financial covenants. The Company does not have any leases that have not yet commenced that create significant rights and obligations for the lessee.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expire over the next five years and include options that grant the Company the ability to renew or extend the leases, with the renewal options extending the lease for an additional 1 to 10 years, depending on the lease. When determining the lease term, the Company does not include renewal options unless the renewals are deemed to be reasonably certain of being exercised at the lease commencement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a lessee use the rate implicit in the lease when measuring the lease liability and ROU asset, unless that rate is not readily determinable. When the rate implicit in the lease is not readily determinable, the Company uses its incremental borrowing rate. The Company’s incremental borrowing rate represents the rate of interest that the Company would have to pay to borrow, on a collateralized basis, an amount equal to the lease payments, over a similar term and in a similar economic environment. The incremental borrowing rate is determined for each lease based on the lease term and the underlying asset, using observable market data and Company specific credit assumptions.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an updated incremental borrowing rate for new leases and upon remeasurement events for existing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operating leases in Note 7.</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Derivatives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uses interest rate-related derivative instruments to manage its exposure related to changes in interest rates on its variable rate debt instruments. All derivative instruments are recognized as either assets or liabilities in the balance sheet at their respective fair values. The Company does not apply hedge accounting to its outstanding interest rate cap and interest rate swap; therefore, changes in the fair values of the derivative instruments are recognized in earnings each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Contingent Consideration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 contingent consideration arrangement associated with the DST acquisition on December 22, 2022. The contingent consideration arrangement, as evidenced by a seller note, requires the Company to pay the former owner of DST a payout based on the achievement of certain financial metrics of DST during 2023, 2024, and 2025, with a target amount of $15,000,000, as adjusted higher or lower based on the formula in the seller note, to be paid in three installments, the first during 2024, the second during 2025, and the third during 2026. The fair value of the contingent consideration arrangement at the date of acquisition of $9,300,000 and subsequent remeasurement was estimated by applying the income approach. That measure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Contingent Consideration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 based on significant inputs that are not observable in the market, which are referred to as Level 3 inputs (see discussion of the fair value hierarchy at Note 1(l). At December 31, 2025 and 2024, the amount reflected as a contingent consideration liability on the consolidated balance sheets of the Company was $4,716,077 and $8,353,013, respectively. The change in the fair value of the contingent consideration for the years ended December 31, 2025, 2024 and 2023 was a loss of $216,077, $994,013 and $3,404,833, respectively on the consolidated statements of income. In February of 2026, 2025 and 2024, payments were made to the former owner in the amounts of $4,716,077, $3,853,013 and $5,345,833,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Goodwill and Customer Relationship Intangibles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goodwill of $33,202,473 reflected on the Company’s consolidated balance sheets as of December 31, 2025 and 2024 was associated with the acquisition of DST by the Company in 2022 and the acquisition of TAH by the Company in 2018. There were no changes in the carrying amount of goodwill for the years ended December 31, 2025 and 2024.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as of December 31, 2025 and 2024 regarding the Company’s other identifiable intangible assets subject to amortization:</w:t>
      </w:r>
    </w:p>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13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34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50,092,323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r>
    </w:tbl>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13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4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44,377,713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47,987,287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relationship intangibles have a weighted average remaining useful life of 10.0 years. Amortization expense for the years ended December 31, 2025, 2024 and 2023 was $5,714,610, $6,481,741 and $7,636,999,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estimated amortization expense of the Company’s amortizable identifiable intangible assets for the next five years:</w:t>
      </w:r>
    </w:p>
    <w:tbl>
      <w:tblPr>
        <w:tblW w:w="5579" w:type="dxa"/>
        <w:jc w:val="left"/>
        <w:tblInd w:w="0" w:type="dxa"/>
        <w:tblLayout w:type="fixed"/>
        <w:tblCellMar>
          <w:top w:w="0" w:type="dxa"/>
          <w:left w:w="0" w:type="dxa"/>
          <w:bottom w:w="0" w:type="dxa"/>
          <w:right w:w="0" w:type="dxa"/>
        </w:tblCellMar>
      </w:tblPr>
      <w:tblGrid>
        <w:gridCol w:w="3976"/>
        <w:gridCol w:w="146"/>
        <w:gridCol w:w="286"/>
        <w:gridCol w:w="1171"/>
      </w:tblGrid>
      <w:tr>
        <w:trPr/>
        <w:tc>
          <w:tcPr>
            <w:tcW w:w="3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5,084,496</w:t>
            </w:r>
          </w:p>
        </w:tc>
      </w:tr>
      <w:tr>
        <w:trPr/>
        <w:tc>
          <w:tcPr>
            <w:tcW w:w="39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4,548,394</w:t>
            </w:r>
          </w:p>
        </w:tc>
      </w:tr>
      <w:tr>
        <w:trPr/>
        <w:tc>
          <w:tcPr>
            <w:tcW w:w="3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6,646,871</w:t>
            </w:r>
          </w:p>
        </w:tc>
      </w:tr>
      <w:tr>
        <w:trPr/>
        <w:tc>
          <w:tcPr>
            <w:tcW w:w="39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6,434,875</w:t>
            </w:r>
          </w:p>
        </w:tc>
      </w:tr>
      <w:tr>
        <w:trPr/>
        <w:tc>
          <w:tcPr>
            <w:tcW w:w="3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6,374,055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Long-Term Debt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8, 2018, the Company (as initial borrower) and TAH (as successor borrower) entered into a First Lien Credit Agreement (First Lien) with a group of banks and a Second Lien Credit Agreement (Second Lien) with an investment firm. The First Lien was refinanced on August 3, 2022, representing the Amended and Restated First Lien Credit Agreement, and included an increase in the term loan to $85,000,000 and provided for a $15,000,000 revolving line of credit and a $40,000,000 Delayed Draw Term Loan. The maturity date of the First Lien was the earliest of (a) August 3, 2027, (b) the date six months prior to the maturity date of the Second Lien and (c) the date twelve months prior to the maturity date of the Holdco subordinated term loan agreement. The Second Lien was amended on August 3, 2022, which extended the maturity date to July 10,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The First Lien was amended on December 22, 2022, to add an additional term loan in the amount of $40,000,000 and increase the revolving line of credit to $20,000,000. On November 29, 2023, the Company entered into an incremental delayed draw term loan agreement with its lender to provide an additional commitment of $15,000,000.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Lien was refinanced on January 23, 2024, representing the Second Amended and Restated Credit Agreement, and included a term loan of $172,500,000 and provided for a $30,000,000 revolving line of credit and a $42,500,000 Delayed Draw Term Loan feature. As part of this refinancing, the Second Lien was paid in full.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Second Amended and Restated Credit Agreement was further amended to provide for (a) a $200,000,000 term loan, (b) a Delayed Draw Term Loan #1 of $40,000,000, (c) a Delayed Draw Term Loan #2 of $60,000,000 (none of which has been drawn through December 31, 2025) and (d) a $30,000,000 revolving line of credit.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date of the amended First Lien is the earlier of (a) January 23, 2029, and (b) the date twelve months prior to the maturity date of the Subordinated Term Loan. The revolving line of credit had an outstanding balance of $6,650,000 and $788,098 at December 31, 2025 and 2024, respectively. The revolving line of credit is due on July 23, 2026, and has a variable interest rate, which was 9.25% as of December 31, 2025. Interest related to the revolving line of credit is paid monthly. On January 7, 2026, the First Lien was refinanced with similar terms, but extended its maturity to January 7, 2031. See also Note 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Holdco entered into a $37,500,000 subordinated term loan agreement (the Subordinated Term Loan) with an investment firm. The Subordinated Term Loan, as amended on August 3, 2022, bears interest at a variable rate based on an adjusted Secured Overnight Financing Rate (SOFR), plus applicable margin. Interest is due quarterly; however, Holdco may pay up to 10.0% per annum of such interest in kind by capitalizing such portion of the accrued interest into the principal amount of the Subordinated Term Loan. Under certain conditions as set forth in the First and Second Lien Term Loans, the payment of interest on this borrowing would not be permitted. Under these conditions, the entire accrued interest may be treated as in kind and capitalized into the principal amount of the Subordinated Term Loan. The borrowings under this Subordinated Term Loan agreement are subordinate to the First and Second Liens, collateralized by a security interest in Intermediate Holdco and originally were scheduled to mature on January 4, 2024. The agreement was amended on August 3, 2022, to extend the maturity date to January 4,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refinancing of the First Lien Term Loan on August 3, 2022, the Company repaid $21,000,000 on this Subordinated Term Loan. Additionally, on December 22, 2022, the Subordinated Term Loan agreement was amended to make additional term loans in the amount of $5,000,000 under the same terms and conditions. On January 23, 2024, the Subordinated Term Loan was amended to extend the maturity date from January 4, 2026 to January 23, 2027. The Subordinated Term Loan was amended again on December 30, 2024, to extend the maturity date from January 23, 2027 to July 23, 2027. On January 7, 2026, the Subordinated Term Loan was refinanced with a different lender and a new maturity date of July 7, 2031. Repayment of the loan principal is due at maturity. See also Note 12. The amount of interest capitalized for the years ended December 31, 2025, 2024 and 2023 was $0, $769,029 and $0, respectively. The amount outstanding was $29,471,221 as of December 31, 2025 and 2024, and the interest rate was 18.09% and 18.65% at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the following long-term debt at December 31, 2025 and 2024:</w:t>
      </w:r>
    </w:p>
    <w:tbl>
      <w:tblPr>
        <w:tblW w:w="10205" w:type="dxa"/>
        <w:jc w:val="left"/>
        <w:tblInd w:w="0" w:type="dxa"/>
        <w:tblLayout w:type="fixed"/>
        <w:tblCellMar>
          <w:top w:w="0" w:type="dxa"/>
          <w:left w:w="0" w:type="dxa"/>
          <w:bottom w:w="0" w:type="dxa"/>
          <w:right w:w="0" w:type="dxa"/>
        </w:tblCellMar>
      </w:tblPr>
      <w:tblGrid>
        <w:gridCol w:w="6082"/>
        <w:gridCol w:w="146"/>
        <w:gridCol w:w="286"/>
        <w:gridCol w:w="1366"/>
        <w:gridCol w:w="241"/>
        <w:gridCol w:w="146"/>
        <w:gridCol w:w="286"/>
        <w:gridCol w:w="1366"/>
        <w:gridCol w:w="286"/>
      </w:tblGrid>
      <w:tr>
        <w:trPr/>
        <w:tc>
          <w:tcPr>
            <w:tcW w:w="60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$3,750,000 through, March 31, 2026; $5,000,000 thereafter with a balloon payment at maturity of July 23, 2026(1); variable interest rate (7.52% at December 31, 2025); secured by 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$3,234,375 through March 31, 2026; $4,312,500 thereafter with a balloon payment at maturity of July 23, 2026; variable interest rate (8.17% at December 31, 2024); secured by aircraft.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162,796,875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$750,000 through March 31, 2026; $1,000,000 thereafter with a balloon payment at maturity of July 23, 2026(1); variable interest rate (7.43% and 7.52% at December 31, 2025); secured by 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39,252,029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payable to a bank, due in quarterly installments of $281,250 through March 31, 2026; $375,000 thereafter with a balloon payment at maturity of July 23, 2026; variable interest rate (8.17% at December 31, 2024); secured by aircraft.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14,156,250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due at maturity of July 23, 2027; variable interest rate (18.09%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(including interest of $769,029 paid in-kind for the year ended December 31, 2024) due at maturity of July 23, 2027; variable interest rate (18.65% at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206,424,346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maturities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(14,062,500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discount on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(2,707,971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(2,543,778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189,760,970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(1)      On January 7, 2026, the Company refinanced the First Lien term note and the Delayed Draw Term Loans and extended the maturities to January 7, 2031. Additionally, the Subordinated Term Loan was refinanced with a new lender and extended the maturity date to January 7, 2032. See also Note 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rate is defined in the amended first and second lien credit agreements as an adjusted Secured Overnight Financing Rate (SOFR) plus applicable margin or a base rate plus applicable margin. The loan may consist of the adjusted SOFR rate, the base rate or a combination thereof, at the borrower’s option.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indebtedness is collateralized by substantially all of the Company’s property and equipment. In connection with its indebtedness, the Company is required, among other things, to maintain certain financial covenants, which include consolidated leverage and fixed charge ratios, that must be complied with prior to certain distributions being made to its members.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long-term debt at December 31, 2025 are as follows:</w:t>
      </w:r>
    </w:p>
    <w:tbl>
      <w:tblPr>
        <w:tblW w:w="2444" w:type="dxa"/>
        <w:jc w:val="left"/>
        <w:tblInd w:w="0" w:type="dxa"/>
        <w:tblLayout w:type="fixed"/>
        <w:tblCellMar>
          <w:top w:w="0" w:type="dxa"/>
          <w:left w:w="0" w:type="dxa"/>
          <w:bottom w:w="0" w:type="dxa"/>
          <w:right w:w="0" w:type="dxa"/>
        </w:tblCellMar>
      </w:tblPr>
      <w:tblGrid>
        <w:gridCol w:w="601"/>
        <w:gridCol w:w="146"/>
        <w:gridCol w:w="286"/>
        <w:gridCol w:w="1411"/>
      </w:tblGrid>
      <w:tr>
        <w:trPr/>
        <w:tc>
          <w:tcPr>
            <w:tcW w:w="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r>
      <w:tr>
        <w:trPr/>
        <w:tc>
          <w:tcPr>
            <w:tcW w:w="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53,471,221</w:t>
            </w:r>
          </w:p>
        </w:tc>
      </w:tr>
      <w:tr>
        <w:trPr/>
        <w:tc>
          <w:tcPr>
            <w:tcW w:w="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24,000,000</w:t>
            </w:r>
          </w:p>
        </w:tc>
      </w:tr>
      <w:tr>
        <w:trPr/>
        <w:tc>
          <w:tcPr>
            <w:tcW w:w="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165,002,029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Interest Rate Cap and Swap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in connection with the refinance of the Company’s First Lien, for a fee of $1,444,822, the Company entered into an interest rate cap agreement to provide a hedge against the risk of rising interest rates on its indebtedness. The notional amount as of December 31, 2025 and 2024, was $75,000,000 and $85,000,000, respectively. The derivative is carried at fair value on the consolidated balance sheets with changes in fair value included in other, net in the consolidated statements of income. The fair value of the interest rate cap as of December 31, 2025 and 2024 was immaterial. The fair value measurement is based on observable inputs in the market, which are referred to as Level 2 inputs in the fair value hierarchy. The change in fair value for the years ended December 31, 2025, 2024 and 2023 was a loss of $286,282, $784,033 and $964,604,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2022, the Company entered into an interest rate swap agreement at no charge to provide a hedge against the risk of rising interest rates on its indebtedness incurred in connection with the acquisition of DST. The notional amount as of December 31, 2025 and 2024 was $40,000,000. The derivative is carried at fair value on the consolidated balance sheets with changes in fair value included in other, net in the consolidated statements of income. The fair value of the interest rate swap as of December 31, 2025 and 2024 was immaterial. The fair value measurement is based on observable inputs in the market, which are referred to as Level 2 inputs in the fair value hierarchy. The change in fair value for the years ended December 31, 2025, 2024 and 2023 was a loss of $576,875, a gain of $404,110 and a loss of $206,619,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Leasing Activities — Lessor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core business, leases aircraft to its customers by executing dry lease and wet lease agreements, as described in Note 1(m).</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all rental income is the result of lease agreements with governmental agencies or their contractors that are typically for a term of one year, with options for annual extensions.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operating leases during the years ended December 31, 2025, 2024 and 2023 is as follows:</w:t>
      </w:r>
    </w:p>
    <w:tbl>
      <w:tblPr>
        <w:tblW w:w="9805" w:type="dxa"/>
        <w:jc w:val="left"/>
        <w:tblInd w:w="0" w:type="dxa"/>
        <w:tblLayout w:type="fixed"/>
        <w:tblCellMar>
          <w:top w:w="0" w:type="dxa"/>
          <w:left w:w="0" w:type="dxa"/>
          <w:bottom w:w="0" w:type="dxa"/>
          <w:right w:w="0" w:type="dxa"/>
        </w:tblCellMar>
      </w:tblPr>
      <w:tblGrid>
        <w:gridCol w:w="4726"/>
        <w:gridCol w:w="146"/>
        <w:gridCol w:w="286"/>
        <w:gridCol w:w="1246"/>
        <w:gridCol w:w="146"/>
        <w:gridCol w:w="286"/>
        <w:gridCol w:w="1246"/>
        <w:gridCol w:w="146"/>
        <w:gridCol w:w="286"/>
        <w:gridCol w:w="1291"/>
      </w:tblGrid>
      <w:tr>
        <w:trPr/>
        <w:tc>
          <w:tcPr>
            <w:tcW w:w="4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straight-line lease payments(1)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46,755,784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43,381,614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42,824,363</w:t>
            </w:r>
          </w:p>
        </w:tc>
      </w:tr>
      <w:tr>
        <w:trPr/>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variable lease payments(2)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r>
      <w:tr>
        <w:trPr/>
        <w:tc>
          <w:tcPr>
            <w:tcW w:w="4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rental income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54,798,226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50,110,529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47,953,087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(1)      Presented within aircraft rental income in the consolidated statements of income.</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(2)      Presented within aircraft flight hour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maturity analysis of lease payments expected to be received under operating leases in the next twelve months under Topic 842 were approximately $81,783,161.</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reported in the consolidated balance sheets under operating lease agreements at December 31, 2025 and 2024 are as follows:</w:t>
      </w:r>
    </w:p>
    <w:tbl>
      <w:tblPr>
        <w:tblW w:w="7859" w:type="dxa"/>
        <w:jc w:val="left"/>
        <w:tblInd w:w="0" w:type="dxa"/>
        <w:tblLayout w:type="fixed"/>
        <w:tblCellMar>
          <w:top w:w="0" w:type="dxa"/>
          <w:left w:w="0" w:type="dxa"/>
          <w:bottom w:w="0" w:type="dxa"/>
          <w:right w:w="0" w:type="dxa"/>
        </w:tblCellMar>
      </w:tblPr>
      <w:tblGrid>
        <w:gridCol w:w="3781"/>
        <w:gridCol w:w="146"/>
        <w:gridCol w:w="286"/>
        <w:gridCol w:w="1366"/>
        <w:gridCol w:w="241"/>
        <w:gridCol w:w="146"/>
        <w:gridCol w:w="286"/>
        <w:gridCol w:w="1321"/>
        <w:gridCol w:w="286"/>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139,973,363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89,967,884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(33,177,004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(25,334,830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property under lease agreements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106,796,359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64,633,054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Leasing Activities — Lessor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Investment in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2019, the Company entered into a lease agreement with an unaffiliated company that qualifies as a direct financing lease. This lease expired in March 2025. In both 2022 and 2023, the Company entered into lease agreements that qualify as sales-type leases. Both of these leases expired in September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net investment in leases during the years ended December 31, 2025, 2024 and 2023 is as follows:</w:t>
      </w:r>
    </w:p>
    <w:tbl>
      <w:tblPr>
        <w:tblW w:w="7495" w:type="dxa"/>
        <w:jc w:val="left"/>
        <w:tblInd w:w="0" w:type="dxa"/>
        <w:tblLayout w:type="fixed"/>
        <w:tblCellMar>
          <w:top w:w="0" w:type="dxa"/>
          <w:left w:w="0" w:type="dxa"/>
          <w:bottom w:w="0" w:type="dxa"/>
          <w:right w:w="0" w:type="dxa"/>
        </w:tblCellMar>
      </w:tblPr>
      <w:tblGrid>
        <w:gridCol w:w="2776"/>
        <w:gridCol w:w="146"/>
        <w:gridCol w:w="286"/>
        <w:gridCol w:w="1126"/>
        <w:gridCol w:w="146"/>
        <w:gridCol w:w="286"/>
        <w:gridCol w:w="1126"/>
        <w:gridCol w:w="146"/>
        <w:gridCol w:w="286"/>
        <w:gridCol w:w="1171"/>
      </w:tblGrid>
      <w:tr>
        <w:trPr/>
        <w:tc>
          <w:tcPr>
            <w:tcW w:w="2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 interest(3)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6,301,112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8,948,108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6,179,948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(3)      Presented within aircraft rental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components of the net investment in the Company’s leases under Topic 842 are as follows (amounts presented on a discounted basis):</w:t>
      </w:r>
    </w:p>
    <w:tbl>
      <w:tblPr>
        <w:tblW w:w="7227" w:type="dxa"/>
        <w:jc w:val="left"/>
        <w:tblInd w:w="0" w:type="dxa"/>
        <w:tblLayout w:type="fixed"/>
        <w:tblCellMar>
          <w:top w:w="0" w:type="dxa"/>
          <w:left w:w="0" w:type="dxa"/>
          <w:bottom w:w="0" w:type="dxa"/>
          <w:right w:w="0" w:type="dxa"/>
        </w:tblCellMar>
      </w:tblPr>
      <w:tblGrid>
        <w:gridCol w:w="4666"/>
        <w:gridCol w:w="146"/>
        <w:gridCol w:w="286"/>
        <w:gridCol w:w="406"/>
        <w:gridCol w:w="146"/>
        <w:gridCol w:w="286"/>
        <w:gridCol w:w="1291"/>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receivables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5,135,605</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Unguaranteed residual value of leased aircraft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16,001,115</w:t>
            </w:r>
          </w:p>
        </w:tc>
      </w:tr>
      <w:tr>
        <w:trPr/>
        <w:tc>
          <w:tcPr>
            <w:tcW w:w="46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21,136,720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Leasing Activities — Lessee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1(n), the Company leases office space, hangar space and an aircraft. All of the Company’s leases are classified as operating leases. The Company’s leases are non-cancelable and expire on various terms through 2048.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the Company’s ROU assets and liabilities as of December 31, 2025 and 2024:</w:t>
      </w:r>
    </w:p>
    <w:tbl>
      <w:tblPr>
        <w:tblW w:w="7062" w:type="dxa"/>
        <w:jc w:val="left"/>
        <w:tblInd w:w="0" w:type="dxa"/>
        <w:tblLayout w:type="fixed"/>
        <w:tblCellMar>
          <w:top w:w="0" w:type="dxa"/>
          <w:left w:w="0" w:type="dxa"/>
          <w:bottom w:w="0" w:type="dxa"/>
          <w:right w:w="0" w:type="dxa"/>
        </w:tblCellMar>
      </w:tblPr>
      <w:tblGrid>
        <w:gridCol w:w="3901"/>
        <w:gridCol w:w="146"/>
        <w:gridCol w:w="286"/>
        <w:gridCol w:w="1126"/>
        <w:gridCol w:w="146"/>
        <w:gridCol w:w="286"/>
        <w:gridCol w:w="1171"/>
      </w:tblGrid>
      <w:tr>
        <w:trPr/>
        <w:tc>
          <w:tcPr>
            <w:tcW w:w="3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balances</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39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ROU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r>
      <w:tr>
        <w:trPr/>
        <w:tc>
          <w:tcPr>
            <w:tcW w:w="39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39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4,060,831</w:t>
            </w:r>
          </w:p>
        </w:tc>
      </w:tr>
      <w:tr>
        <w:trPr/>
        <w:tc>
          <w:tcPr>
            <w:tcW w:w="39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2,891,011</w:t>
            </w:r>
          </w:p>
        </w:tc>
      </w:tr>
      <w:tr>
        <w:trPr/>
        <w:tc>
          <w:tcPr>
            <w:tcW w:w="39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6,951,842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lease cost in the consolidated statements of income for the years ended December 31, 2025, 2024 and 2023:</w:t>
      </w:r>
    </w:p>
    <w:tbl>
      <w:tblPr>
        <w:tblW w:w="7780" w:type="dxa"/>
        <w:jc w:val="left"/>
        <w:tblInd w:w="0" w:type="dxa"/>
        <w:tblLayout w:type="fixed"/>
        <w:tblCellMar>
          <w:top w:w="0" w:type="dxa"/>
          <w:left w:w="0" w:type="dxa"/>
          <w:bottom w:w="0" w:type="dxa"/>
          <w:right w:w="0" w:type="dxa"/>
        </w:tblCellMar>
      </w:tblPr>
      <w:tblGrid>
        <w:gridCol w:w="3061"/>
        <w:gridCol w:w="146"/>
        <w:gridCol w:w="286"/>
        <w:gridCol w:w="1126"/>
        <w:gridCol w:w="146"/>
        <w:gridCol w:w="286"/>
        <w:gridCol w:w="1126"/>
        <w:gridCol w:w="146"/>
        <w:gridCol w:w="286"/>
        <w:gridCol w:w="117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cost(1)</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4,241,154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4,265,608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4,163,020</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373,649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232,313</w:t>
            </w:r>
          </w:p>
        </w:tc>
      </w:tr>
      <w:tr>
        <w:trPr/>
        <w:tc>
          <w:tcPr>
            <w:tcW w:w="30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4,684,697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4,648,114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4,403,140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components of lease cost are presented in aircraft rental expense, general and administrative, maintenance and direct costs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Leasing Activities — Lessee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future maturities of lease payments for operating leases for the periods after December 31, 2025:</w:t>
      </w:r>
    </w:p>
    <w:tbl>
      <w:tblPr>
        <w:tblW w:w="4185" w:type="dxa"/>
        <w:jc w:val="left"/>
        <w:tblInd w:w="0" w:type="dxa"/>
        <w:tblLayout w:type="fixed"/>
        <w:tblCellMar>
          <w:top w:w="0" w:type="dxa"/>
          <w:left w:w="0" w:type="dxa"/>
          <w:bottom w:w="0" w:type="dxa"/>
          <w:right w:w="0" w:type="dxa"/>
        </w:tblCellMar>
      </w:tblPr>
      <w:tblGrid>
        <w:gridCol w:w="2341"/>
        <w:gridCol w:w="146"/>
        <w:gridCol w:w="286"/>
        <w:gridCol w:w="1126"/>
        <w:gridCol w:w="286"/>
      </w:tblGrid>
      <w:tr>
        <w:trPr/>
        <w:tc>
          <w:tcPr>
            <w:tcW w:w="2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1,013,311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leases 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4,846,004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liability accretion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(510,527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weighted-average lease term and discount rate for operating leases as of December 31, 2025, 2024 and 2023:</w:t>
      </w:r>
    </w:p>
    <w:tbl>
      <w:tblPr>
        <w:tblW w:w="8512" w:type="dxa"/>
        <w:jc w:val="left"/>
        <w:tblInd w:w="0" w:type="dxa"/>
        <w:tblLayout w:type="fixed"/>
        <w:tblCellMar>
          <w:top w:w="0" w:type="dxa"/>
          <w:left w:w="0" w:type="dxa"/>
          <w:bottom w:w="0" w:type="dxa"/>
          <w:right w:w="0" w:type="dxa"/>
        </w:tblCellMar>
      </w:tblPr>
      <w:tblGrid>
        <w:gridCol w:w="4066"/>
        <w:gridCol w:w="146"/>
        <w:gridCol w:w="1321"/>
        <w:gridCol w:w="146"/>
        <w:gridCol w:w="1321"/>
        <w:gridCol w:w="146"/>
        <w:gridCol w:w="1366"/>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 months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 months</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 months</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cash activities associated with the Company’s leases for the years ended December 31, 2025, 2024 and 2023:</w:t>
      </w:r>
    </w:p>
    <w:tbl>
      <w:tblPr>
        <w:tblW w:w="10205" w:type="dxa"/>
        <w:jc w:val="left"/>
        <w:tblInd w:w="0" w:type="dxa"/>
        <w:tblLayout w:type="fixed"/>
        <w:tblCellMar>
          <w:top w:w="0" w:type="dxa"/>
          <w:left w:w="0" w:type="dxa"/>
          <w:bottom w:w="0" w:type="dxa"/>
          <w:right w:w="0" w:type="dxa"/>
        </w:tblCellMar>
      </w:tblPr>
      <w:tblGrid>
        <w:gridCol w:w="5486"/>
        <w:gridCol w:w="146"/>
        <w:gridCol w:w="286"/>
        <w:gridCol w:w="1126"/>
        <w:gridCol w:w="146"/>
        <w:gridCol w:w="286"/>
        <w:gridCol w:w="1126"/>
        <w:gridCol w:w="146"/>
        <w:gridCol w:w="286"/>
        <w:gridCol w:w="1171"/>
      </w:tblGrid>
      <w:tr>
        <w:trPr/>
        <w:tc>
          <w:tcPr>
            <w:tcW w:w="5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5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4,315,651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4,255,993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4,175,021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Membership Classes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2025 and 2024, the Company had three classes of membership units outstanding. Class A-1, Class A-2 and Class A-3 members hold ownership interests of 54%, 36%, and 10%, respectively. Class A-1 and Class A-2 represent the voting membership of the Company based on their respective ownership. The Company has the authority to issue an unlimited amount of additional membership units in the three current classes of membership units or issue additional classes of membership units.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certain outside Board of Directors’ investment in Class A-3 units in the Company, the Company received promissory notes in the same amount from such directors secured by the Company’s underlying membership units. These notes bear interest at 4% and are due at the earlier of ten years or a liquidity event, as defined in the note agreements. The membership interest can be purchased by the Company at any time at fair market value, or the director can exercise his right to sell up to 25% of the membership interest to the Company in any year beginning on the fifth anniversary of the measuring date (defined in the director’s equity ownership agreement as January 8, 2018). The notes receivable of $250,000 as of December 31, 2025 and 2024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certain employees’ investment in Class A-3 units in the Company, the Company received promissory notes in the same amount from such employees secured by the Company’s underlying membership units. These notes bear interest at 4% and are due at the earlier of ten years or a liquidity event, as defined in the note agreements. The membership interest can be purchased by the Company at any time at fair market value, or the employee can exercise their right to sell up to 25% of the membership interest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Membership Classes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 any year beginning on the fifth anniversary of the measuring date (defined in the Management Equity Ownership Agreements as of July 10, 2020, January 1, 2021, January 23, 2023, March 13, 2023, and January 1, 2024). On October 1, 2022, the Company assigned its rights in these note agreements to Managers Equity, LLC. The notes receivable of $2,062,500 as of December 31, 2025 and 2024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obligations of the equity holders of the Company (the members) are governed by an operating agreement. The operating agreement provides that the members of the Company will not be liable for obligations or liabilities of the Company, except to the extent provided by the Delaware Limited Liability Company Act of the State of Delaware.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limited liability statutes of Delaware, a person who is a member of a limited liability company is not liable for a debt, obligation or liability of the limited liability company, whether arising in contract, tort or otherwise or for the acts or omissions of any other member, agent or employee of the limited liability 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2025, 2024 and 2023, the Company paid tax distributions to its members totaling $9,579,779, $7,844,525 and $199,027, respectively.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Lien and Subordinated Term Loan were principally provided by the Class A-2 members (see Notes 4 and 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management fees to an affiliate that has common ownership with the Company. Total management fees and expense reimbursements incurred relating to these transactions totaled $2,894,428 and $101,382, respectively, for the year ended December 31, 2025. Total management fees and expense reimbursements incurred relating to these transactions with this entity and other members of management totaled $2,621,318 and $126,215, respectively, for the year ended December 31, 2024. Total management fees and expense reimbursements incurred relating to these transactions with this entity and other members of management totaled $2,037,249 and $134,035, respectively, for the year ended December 31, 2023. These management fees and expense reimbursements are included in other costs and expenses on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recognized reimbursements for aircraft usage and other costs of $168,726, $130,092 and $378,280 from these affiliates for the years ended December 31, 2025, 2024 and 2023, respectively. TAH incurred fees for director and consulting services totaling $599,729, $540,616 and $540,625 paid to the Board of Directors of the Company for the years ended December 31, 2025, 2024 and 2023,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sold an aircraft to an entity affiliated with a member of the Board of Directors in the amount of $1,300,000 during the year ended December 31, 2023. This sale resulted in a gain of $422,476 recorded on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aircraft maintenance and modification fees to Stevens Aerospace and Defense Systems, LLC (Stevens), a company with common ownership. During the year ended December 31, 2025, the Company incurred costs of $3,192,225 payable to Stevens, of which $891,460 was capitalized. During the year ended December 31, 2024, the Company incurred costs of $6,090,263 payable to Stevens, of which $4,976,396 was capitalized. During the year ended December 31, 2023, the Company incurred costs of $6,646,427 payable to Stevens, of which $5,418,004 was capitalized.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avionic related services from and provides services to companies owned or controlled by the former owner and current officer of DST (see Note 2). The net service costs incurred by the Company totaled $639,826, $290,396 and $233,694, respectively, during the years ended December 31, 2025, 2024 and 2023.</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TAH issued six notes receivable to two members of management. The notes bear interest at 4% and are due at the earlier of ten years or a liquidity event, as defined in the note agreements. The notes receivable of $431,735 and $415,524, which include accrued interest, as of December 31, 2025 and 2024, respectively, are included as a receivable to TAH within other noncurrent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costs of $766,500, $106,520 and $319,605 in 2025, 2024 and 2023, respectively, payable to Overwatch, of which $745,000 was capitalized in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payable to related parties as of December 31, 2025 and 2024 totaled $37,993 and $352,332, respectively. Amounts receivable from related parties as of December 31, 2025 and 2024 totaled $432,735 and $412,206,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Profit Sharing Plan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TM, LLC has a 401(k) profit sharing plan covering substantially all employees. Employees are eligible for matching contributions equal to 100% of their contribution up to 4% of employees’ salaries. Employer contributions to the plan for the years ended December 31, 2025, 2024 and 2023 were $419,870, $364,732 and $225,184,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DST has a 401(k) profit sharing plan covering substantially all employees. Employer contributions equal to 4% in 2025 and 3% in 2024 and 2023 of employees’ salaries are mandatory. Employer contributions to the plan for the years ended December 31, 2025, 2024 and 2023 were $701,225, $284,491 and $193,595,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Significant Concentrations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earned 78%, 69% and 61% of its revenues from three customers for the years ended December 31, 2025, 2024 and 2023, respectively, which receive funding primarily through government contracts. These three customers accounted for approximately 58%, 60% and 63% of accounts receivable at December 31, 2025, 2024 and 2023,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Subsequent Events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Refinancing and Member Unit Redemption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Company completed a refinancing and member unit redemption transaction (the Transaction). The Transaction included (i) the refinancing of the Company’s existing First Lien term loan and Delayed Draw Term Loans payable, (ii) the renewal and extension of its existing revolving credit facility, (iii) the issuance of a new second lien term indebtedness and a new subordinated term loan and (iv) the repayment of its existing Subordinated Term Loan. The latter two credit facilities were provided by a new underwriting from a group of financial institutions (the Junior Lenders).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results in the extension of the Company’s debt maturities, enhances liquidity and provides capital for additional aircraft acquisitions, as needed. Additionally, the Transaction provided the necessary funds to redeem $78,000,000 of member units, principally held by an investment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ACQUISITIONS,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 the Company issued warrants, pursuant to certain warrant agreements (Warrants) dated January 7, 2026, to the Junior Lenders. These fixed price Warrants have a ten-year maturity. Additionally, the Company amended its operating agreement such that the Warrant holders may exercise a put option requiring the Company to repurchase all, or a portion thereof, of the Warrant units beginning on the sixth anniversary of the Warrant issue date through the end of the Warrant maturity.</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19, 2026, the Company entered into an additional interest rate cap agreement, with a notional amount of $150,000,000 to provide a hedge against the risk of rising interest rates on its indebtedness.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long-term debt at January 7, 2026 are as follows:</w:t>
      </w:r>
    </w:p>
    <w:tbl>
      <w:tblPr>
        <w:tblW w:w="2984" w:type="dxa"/>
        <w:jc w:val="left"/>
        <w:tblInd w:w="0" w:type="dxa"/>
        <w:tblLayout w:type="fixed"/>
        <w:tblCellMar>
          <w:top w:w="0" w:type="dxa"/>
          <w:left w:w="0" w:type="dxa"/>
          <w:bottom w:w="0" w:type="dxa"/>
          <w:right w:w="0" w:type="dxa"/>
        </w:tblCellMar>
      </w:tblPr>
      <w:tblGrid>
        <w:gridCol w:w="1141"/>
        <w:gridCol w:w="146"/>
        <w:gridCol w:w="286"/>
        <w:gridCol w:w="1411"/>
      </w:tblGrid>
      <w:tr>
        <w:trPr/>
        <w:tc>
          <w:tcPr>
            <w:tcW w:w="11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10,312,500</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13,750,000</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18,906,250</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20,625,000</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25,781,250</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258,125,000</w:t>
            </w:r>
          </w:p>
        </w:tc>
      </w:tr>
    </w:tbl>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also Notes 4 and 5 to the consolidated financial statements.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Merger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Air Industries Group (AIR) entered into an Agreement and Plan of Merger (the Merger Agreement) to combine the Company’s aviation business with AIR’s aerospace manufacturing business. This “reverse merger” will result in the Company owning approximately 95% of AIR’s outstanding shares based on a calculation of “Debt Adjusted AIR Share Price” (as defined) in the Merger Agreement. The merger is subject to AIR shareholder approval, related regulatory filings, U.S. government approvals and other closing conditions customary for transactions of this size and nature.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Transaction and the Merger Agreement occurred subsequent to the consolidated balance sheet date, these subsequent event activities have not been reflected in the accompanying consolidated financial statements as of December 31, 2025. The Company evaluated these subsequent events in accordance with ASC 855, Subsequent Events, and determined that disclosure, but not adjustments of the consolidated financial statements, was required.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through April 15, 2026, the date on which these consolidated financial statements were available to be issued and determined that no other subsequent events occurred that require recognition or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14" w:name="T2003"/>
      <w:bookmarkEnd w:id="114"/>
      <w:r>
        <w:rPr>
          <w:rFonts w:ascii="Times New Roman PS Std;serif" w:hAnsi="Times New Roman PS Std;serif"/>
          <w:b/>
          <w:i w:val="false"/>
          <w:caps w:val="false"/>
          <w:smallCaps w:val="false"/>
          <w:sz w:val="20"/>
        </w:rPr>
        <w:t xml:space="preserve">Annex A </w:t>
      </w:r>
    </w:p>
    <w:p>
      <w:pPr>
        <w:pStyle w:val="TextBody"/>
        <w:widowControl/>
        <w:pBdr/>
        <w:bidi w:val="0"/>
        <w:spacing w:before="24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EXECUTION VERSION</w:t>
      </w:r>
    </w:p>
    <w:p>
      <w:pPr>
        <w:pStyle w:val="TextBody"/>
        <w:widowControl/>
        <w:pBdr/>
        <w:bidi w:val="0"/>
        <w:spacing w:before="380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PLAN OF MERGER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TRANSITORY AIR SUB LLC</w:t>
      </w:r>
    </w:p>
    <w:p>
      <w:pPr>
        <w:pStyle w:val="TextBody"/>
        <w:widowControl/>
        <w:pBdr/>
        <w:bidi w:val="0"/>
        <w:spacing w:before="480" w:after="372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July 2,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235" w:type="dxa"/>
        <w:jc w:val="left"/>
        <w:tblInd w:w="0" w:type="dxa"/>
        <w:tblLayout w:type="fixed"/>
        <w:tblCellMar>
          <w:top w:w="0" w:type="dxa"/>
          <w:left w:w="0" w:type="dxa"/>
          <w:bottom w:w="0" w:type="dxa"/>
          <w:right w:w="0" w:type="dxa"/>
        </w:tblCellMar>
      </w:tblPr>
      <w:tblGrid>
        <w:gridCol w:w="1321"/>
        <w:gridCol w:w="146"/>
        <w:gridCol w:w="6391"/>
        <w:gridCol w:w="146"/>
        <w:gridCol w:w="1231"/>
      </w:tblGrid>
      <w:tr>
        <w:trPr/>
        <w:tc>
          <w:tcPr>
            <w:tcW w:w="13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 xml:space="preserve">ARTICLE </w:t>
            </w:r>
            <w:r>
              <w:rPr>
                <w:rFonts w:ascii="Times New Roman PS Std;serif" w:hAnsi="Times New Roman PS Std;serif"/>
                <w:b w:val="false"/>
                <w:i w:val="false"/>
                <w:caps w:val="false"/>
                <w:smallCaps w:val="false"/>
                <w:sz w:val="20"/>
              </w:rPr>
              <w:t>I</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DEFINED TERMS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Defined Terms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Defined Terms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1.03</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 Headings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of AIR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2.07</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MERGER CONSIDERATION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Pre-Closing Deliveries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Securities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3.03</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Adjustments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3.04</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Payoff Debt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Reservation of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of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3.07</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3.08</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Liability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3.09</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Equity Awards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IV</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REPRESENTATIONS AND WARRANTIES OF AIR AND MERGER SUB</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4.01</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4.02</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4.03</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Relative to This Agreement; Vote Required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A-19</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A-20</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4.05</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 Compliance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A-20</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 Undisclosed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4.07</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4.08</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4.09</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of Merger Sub</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Litigation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A-23</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shd w:fill="CCEEFF" w:val="clear"/>
            <w:vAlign w:val="bottom"/>
          </w:tcPr>
          <w:p>
            <w:pPr>
              <w:pStyle w:val="TableContents"/>
              <w:bidi w:val="0"/>
              <w:spacing w:before="0" w:after="283"/>
              <w:jc w:val="left"/>
              <w:rPr/>
            </w:pPr>
            <w:r>
              <w:rPr/>
              <w:t> </w:t>
            </w:r>
          </w:p>
        </w:tc>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and Personal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vAlign w:val="bottom"/>
          </w:tcPr>
          <w:p>
            <w:pPr>
              <w:pStyle w:val="TableContents"/>
              <w:bidi w:val="0"/>
              <w:spacing w:before="0" w:after="283"/>
              <w:jc w:val="left"/>
              <w:rPr/>
            </w:pPr>
            <w:r>
              <w:rPr/>
              <w:t> </w:t>
            </w:r>
          </w:p>
        </w:tc>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840" w:type="dxa"/>
        <w:jc w:val="left"/>
        <w:tblInd w:w="0" w:type="dxa"/>
        <w:tblLayout w:type="fixed"/>
        <w:tblCellMar>
          <w:top w:w="0" w:type="dxa"/>
          <w:left w:w="0" w:type="dxa"/>
          <w:bottom w:w="0" w:type="dxa"/>
          <w:right w:w="0" w:type="dxa"/>
        </w:tblCellMar>
      </w:tblPr>
      <w:tblGrid>
        <w:gridCol w:w="1321"/>
        <w:gridCol w:w="146"/>
        <w:gridCol w:w="4996"/>
        <w:gridCol w:w="146"/>
        <w:gridCol w:w="1231"/>
      </w:tblGrid>
      <w:tr>
        <w:trPr/>
        <w:tc>
          <w:tcPr>
            <w:tcW w:w="13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Prohibited Payments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Agreement; State Takeover Statutes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Implied Representations and Warranties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REPRESENTATIONS AND WARRANTIES OF TENAX</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5.01</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5.02</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5.03</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Relative to This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5.04</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5.05</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 Compliance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5.06</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 Undisclosed Liabilities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5.07</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5.08</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5.09</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Sufficiency of Funds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Employment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5.13</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and Personal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5.14</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5.15</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5.16</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5.17</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5.18</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5.19</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5.20</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5.21</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Prohibited Payments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5.22</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Implied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CONDUCT OF BUSINESS PENDING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6.01</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AIR Pending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6.02</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Tenax Pending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6.03</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Interfering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ADDITIONAL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7.01</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Meeting; Registration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of Transactions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7.03</w:t>
            </w:r>
          </w:p>
        </w:tc>
        <w:tc>
          <w:tcPr>
            <w:tcW w:w="146" w:type="dxa"/>
            <w:tcBorders/>
            <w:shd w:fill="CCEEFF" w:val="clear"/>
            <w:vAlign w:val="bottom"/>
          </w:tcPr>
          <w:p>
            <w:pPr>
              <w:pStyle w:val="TableContents"/>
              <w:bidi w:val="0"/>
              <w:spacing w:before="0" w:after="283"/>
              <w:jc w:val="left"/>
              <w:rPr/>
            </w:pPr>
            <w:r>
              <w:rPr/>
              <w:t> </w:t>
            </w:r>
          </w:p>
        </w:tc>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 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3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7.04</w:t>
            </w:r>
          </w:p>
        </w:tc>
        <w:tc>
          <w:tcPr>
            <w:tcW w:w="146" w:type="dxa"/>
            <w:tcBorders/>
            <w:vAlign w:val="bottom"/>
          </w:tcPr>
          <w:p>
            <w:pPr>
              <w:pStyle w:val="TableContents"/>
              <w:bidi w:val="0"/>
              <w:spacing w:before="0" w:after="283"/>
              <w:jc w:val="left"/>
              <w:rPr/>
            </w:pPr>
            <w:r>
              <w:rPr/>
              <w:t> </w:t>
            </w:r>
          </w:p>
        </w:tc>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6"/>
        <w:gridCol w:w="146"/>
        <w:gridCol w:w="7246"/>
        <w:gridCol w:w="146"/>
        <w:gridCol w:w="1231"/>
      </w:tblGrid>
      <w:tr>
        <w:trPr/>
        <w:tc>
          <w:tcPr>
            <w:tcW w:w="1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7.05</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 Indemnification and 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7.06</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Notification of Certain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Best Efforts; Further Action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7.08</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7.09</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 of Accountants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7.10</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7.11</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Tax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7.14</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Anti-Takeover Statutes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7.15</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7.16</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7.17</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Rights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7.18</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7.19</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Resignations and Replacement of Directors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7.20</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Charter Amendment and AIR Reverse Stock Split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VIII</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CONDITIONS TO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Each Party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8.02</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Tenax</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8.03</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AIR and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IX</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TERMINATION, AMENDMENT AND 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9.01</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A-60</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9.02</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A-61</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and Expenses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A-61</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9.04</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9.05</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9.06</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 for Termination or 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GENERAL PROVISIONS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10.01</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Non-Survival of Representations, Warranties, Covenants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10.02</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10.03</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10.04</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10.05</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10.06</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in Interest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10.07</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10.08</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10.09</w:t>
            </w:r>
          </w:p>
        </w:tc>
        <w:tc>
          <w:tcPr>
            <w:tcW w:w="146" w:type="dxa"/>
            <w:tcBorders/>
            <w:shd w:fill="CCEEFF" w:val="clear"/>
            <w:vAlign w:val="bottom"/>
          </w:tcPr>
          <w:p>
            <w:pPr>
              <w:pStyle w:val="TableContents"/>
              <w:bidi w:val="0"/>
              <w:spacing w:before="0" w:after="283"/>
              <w:jc w:val="left"/>
              <w:rPr/>
            </w:pPr>
            <w:r>
              <w:rPr/>
              <w:t> </w:t>
            </w:r>
          </w:p>
        </w:tc>
        <w:tc>
          <w:tcPr>
            <w:tcW w:w="7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10.10</w:t>
            </w:r>
          </w:p>
        </w:tc>
        <w:tc>
          <w:tcPr>
            <w:tcW w:w="146" w:type="dxa"/>
            <w:tcBorders/>
            <w:vAlign w:val="bottom"/>
          </w:tcPr>
          <w:p>
            <w:pPr>
              <w:pStyle w:val="TableContents"/>
              <w:bidi w:val="0"/>
              <w:spacing w:before="0" w:after="283"/>
              <w:jc w:val="left"/>
              <w:rPr/>
            </w:pPr>
            <w:r>
              <w:rPr/>
              <w:t> </w:t>
            </w:r>
          </w:p>
        </w:tc>
        <w:tc>
          <w:tcPr>
            <w:tcW w:w="7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900" w:type="dxa"/>
        <w:jc w:val="left"/>
        <w:tblInd w:w="0" w:type="dxa"/>
        <w:tblLayout w:type="fixed"/>
        <w:tblCellMar>
          <w:top w:w="0" w:type="dxa"/>
          <w:left w:w="0" w:type="dxa"/>
          <w:bottom w:w="0" w:type="dxa"/>
          <w:right w:w="0" w:type="dxa"/>
        </w:tblCellMar>
      </w:tblPr>
      <w:tblGrid>
        <w:gridCol w:w="1201"/>
        <w:gridCol w:w="146"/>
        <w:gridCol w:w="7216"/>
        <w:gridCol w:w="146"/>
        <w:gridCol w:w="191"/>
      </w:tblGrid>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Schedules</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A</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AIR Stockholders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Exhibits</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AIR Stockholder Support Agreement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Tenax Member Support Agreement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Tenax Member Lock-Up Agreement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Limited Liability Company Agreement of the Surviving Company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AIR Charter Amendment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Redemption Rights Agreement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G</w:t>
            </w:r>
          </w:p>
        </w:tc>
        <w:tc>
          <w:tcPr>
            <w:tcW w:w="146" w:type="dxa"/>
            <w:tcBorders/>
            <w:vAlign w:val="bottom"/>
          </w:tcPr>
          <w:p>
            <w:pPr>
              <w:pStyle w:val="TableContents"/>
              <w:bidi w:val="0"/>
              <w:spacing w:before="0" w:after="283"/>
              <w:jc w:val="left"/>
              <w:rPr/>
            </w:pPr>
            <w:r>
              <w:rPr/>
              <w:t> </w:t>
            </w:r>
          </w:p>
        </w:tc>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Registration Rights Agreement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AMENDED AND RESTATED AGREEMENT AND PLAN OF MERGER, dated as of July 2,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Air Industries Group, a Nevada corporation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and Transitory Air Sub LLC, a Delaware limited liability company and wholly owned Subsidiary of AIR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Tenax, AIR and Merger Sub entered into that certain Agreement and Plan of Merger, dated as of February 16, 2026 (such date, the “</w:t>
      </w:r>
      <w:r>
        <w:rPr>
          <w:rFonts w:ascii="Times New Roman PS Std;serif" w:hAnsi="Times New Roman PS Std;serif"/>
          <w:b w:val="false"/>
          <w:i w:val="false"/>
          <w:caps w:val="false"/>
          <w:smallCaps w:val="false"/>
          <w:sz w:val="20"/>
          <w:u w:val="single"/>
        </w:rPr>
        <w:t>Original Execution Date</w:t>
      </w:r>
      <w:r>
        <w:rPr>
          <w:caps w:val="false"/>
          <w:smallCaps w:val="false"/>
        </w:rPr>
        <w:t>”</w:t>
      </w:r>
      <w:r>
        <w:rPr>
          <w:rFonts w:ascii="Times New Roman PS Std;serif" w:hAnsi="Times New Roman PS Std;serif"/>
          <w:b w:val="false"/>
          <w:i w:val="false"/>
          <w:caps w:val="false"/>
          <w:smallCaps w:val="false"/>
          <w:sz w:val="20"/>
        </w:rPr>
        <w:t>, and such agreement,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 as amended by Amendment No. 1 to the Agreement and Plan of Merger, dated as of June 8, 2026 (the Original Agreement, as so amended, the “</w:t>
      </w:r>
      <w:r>
        <w:rPr>
          <w:rFonts w:ascii="Times New Roman PS Std;serif" w:hAnsi="Times New Roman PS Std;serif"/>
          <w:b w:val="false"/>
          <w:i w:val="false"/>
          <w:caps w:val="false"/>
          <w:smallCaps w:val="false"/>
          <w:sz w:val="20"/>
          <w:u w:val="single"/>
        </w:rPr>
        <w:t>Existing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amend and restate the Existing Agreement in its entirety on the terms and subject to the conditions set forth herein, and this Agreement shall, upon effectiveness, supersede the Existing Agreement in its entirety;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upon the terms and subject to the conditions of this Agreement and in accordance with the DLLCA, Tenax, AIR and Merger Sub have agreed to enter into a business combination transaction pursuant to which Merger Sub will merge with and into Tenax, with Tenax continuing as the Surviving Company in such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in consideration for the Merger, AIR will issue shares of AIR Common Stock constituting the Merger Consideration to each holder of membership units of Tenax (the “</w:t>
      </w:r>
      <w:r>
        <w:rPr>
          <w:rFonts w:ascii="Times New Roman PS Std;serif" w:hAnsi="Times New Roman PS Std;serif"/>
          <w:b w:val="false"/>
          <w:i w:val="false"/>
          <w:caps w:val="false"/>
          <w:smallCaps w:val="false"/>
          <w:sz w:val="20"/>
          <w:u w:val="single"/>
        </w:rPr>
        <w:t>Tenax Members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Tenax Board has (a) unanimously approved this Agreement and declared its advisability and (b) resolved to recommend the approval of this Agreement by the Tenax Members;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the AIR Board has unanimously (a) determined that this Agreement and the Transactions are fair to, and in the best interests of, AIR and its stockholders; (b) adopted this Agreement and approved the Transaction Documents and the Transactions; (c) resolved to recommend that the stockholders of AIR vote in favor of approving the AIR Charter Amendment and the issuance of AIR Common Stock in connection with the Merger (the “</w:t>
      </w:r>
      <w:r>
        <w:rPr>
          <w:rFonts w:ascii="Times New Roman PS Std;serif" w:hAnsi="Times New Roman PS Std;serif"/>
          <w:b w:val="false"/>
          <w:i w:val="false"/>
          <w:caps w:val="false"/>
          <w:smallCaps w:val="false"/>
          <w:sz w:val="20"/>
          <w:u w:val="single"/>
        </w:rPr>
        <w:t>AIR Stock Issuance</w:t>
      </w:r>
      <w:r>
        <w:rPr>
          <w:caps w:val="false"/>
          <w:smallCaps w:val="false"/>
        </w:rPr>
        <w:t>”</w:t>
      </w:r>
      <w:r>
        <w:rPr>
          <w:rFonts w:ascii="Times New Roman PS Std;serif" w:hAnsi="Times New Roman PS Std;serif"/>
          <w:b w:val="false"/>
          <w:i w:val="false"/>
          <w:caps w:val="false"/>
          <w:smallCaps w:val="false"/>
          <w:sz w:val="20"/>
        </w:rPr>
        <w:t>, and such recommendation, the “</w:t>
      </w:r>
      <w:r>
        <w:rPr>
          <w:rFonts w:ascii="Times New Roman PS Std;serif" w:hAnsi="Times New Roman PS Std;serif"/>
          <w:b w:val="false"/>
          <w:i w:val="false"/>
          <w:caps w:val="false"/>
          <w:smallCaps w:val="false"/>
          <w:sz w:val="20"/>
          <w:u w:val="single"/>
        </w:rPr>
        <w:t>AIR Recommendation</w:t>
      </w:r>
      <w:r>
        <w:rPr>
          <w:caps w:val="false"/>
          <w:smallCaps w:val="false"/>
        </w:rPr>
        <w:t>”</w:t>
      </w:r>
      <w:r>
        <w:rPr>
          <w:rFonts w:ascii="Times New Roman PS Std;serif" w:hAnsi="Times New Roman PS Std;serif"/>
          <w:b w:val="false"/>
          <w:i w:val="false"/>
          <w:caps w:val="false"/>
          <w:smallCaps w:val="false"/>
          <w:sz w:val="20"/>
        </w:rPr>
        <w:t>); and (d) directed that the AIR Charter Amendment and the AIR Stock Issuance be submitted to the stockholders of AIR for approval at a duly held meeting of such stockholders to be called for such purpose (the “</w:t>
      </w:r>
      <w:r>
        <w:rPr>
          <w:rFonts w:ascii="Times New Roman PS Std;serif" w:hAnsi="Times New Roman PS Std;serif"/>
          <w:b w:val="false"/>
          <w:i w:val="false"/>
          <w:caps w:val="false"/>
          <w:smallCaps w:val="false"/>
          <w:sz w:val="20"/>
          <w:u w:val="single"/>
        </w:rPr>
        <w:t>AIR Stockholders Meeting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AIR, as the sole member of Merger Sub, has approved this Agreement by written consent;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WHEREAS, each holder of AIR Stock listed on </w:t>
      </w:r>
      <w:r>
        <w:rPr>
          <w:rFonts w:ascii="Times New Roman PS Std;serif" w:hAnsi="Times New Roman PS Std;serif"/>
          <w:b w:val="false"/>
          <w:i w:val="false"/>
          <w:caps w:val="false"/>
          <w:smallCaps w:val="false"/>
          <w:sz w:val="20"/>
          <w:u w:val="single"/>
        </w:rPr>
        <w:t>Schedule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Key AIR Stockholders</w:t>
      </w:r>
      <w:r>
        <w:rPr>
          <w:caps w:val="false"/>
          <w:smallCaps w:val="false"/>
        </w:rPr>
        <w:t>”</w:t>
      </w:r>
      <w:r>
        <w:rPr>
          <w:rFonts w:ascii="Times New Roman PS Std;serif" w:hAnsi="Times New Roman PS Std;serif"/>
          <w:b w:val="false"/>
          <w:i w:val="false"/>
          <w:caps w:val="false"/>
          <w:smallCaps w:val="false"/>
          <w:sz w:val="20"/>
        </w:rPr>
        <w:t xml:space="preserve">) has delivered to Tenax a support agreement in the form attached hereto as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AIR Stockholder Support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Tenax Members holding a majority in voting power of the outstanding membership units of Tenax (the “</w:t>
      </w:r>
      <w:r>
        <w:rPr>
          <w:rFonts w:ascii="Times New Roman PS Std;serif" w:hAnsi="Times New Roman PS Std;serif"/>
          <w:b w:val="false"/>
          <w:i w:val="false"/>
          <w:caps w:val="false"/>
          <w:smallCaps w:val="false"/>
          <w:sz w:val="20"/>
          <w:u w:val="single"/>
        </w:rPr>
        <w:t>Consenting Tenax Members</w:t>
      </w:r>
      <w:r>
        <w:rPr>
          <w:caps w:val="false"/>
          <w:smallCaps w:val="false"/>
        </w:rPr>
        <w:t>”</w:t>
      </w:r>
      <w:r>
        <w:rPr>
          <w:rFonts w:ascii="Times New Roman PS Std;serif" w:hAnsi="Times New Roman PS Std;serif"/>
          <w:b w:val="false"/>
          <w:i w:val="false"/>
          <w:caps w:val="false"/>
          <w:smallCaps w:val="false"/>
          <w:sz w:val="20"/>
        </w:rPr>
        <w:t xml:space="preserve">) have delivered to AIR support agreements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Tenax Member Support Agreements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WHEREAS, concurrently with the execution and delivery of the Original Agreement and as a condition and inducement to AIR and Merger Sub’s willingness to enter into the Original Agreement, each of Thomas Foley and Taran Bakker executed and delivered a lock-up agreement in the form attached hereto as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Tenax Member Lock-Up Agreements</w:t>
      </w:r>
      <w:r>
        <w:rPr>
          <w:caps w:val="false"/>
          <w:smallCaps w:val="false"/>
        </w:rPr>
        <w:t>”</w:t>
      </w:r>
      <w:r>
        <w:rPr>
          <w:rFonts w:ascii="Times New Roman PS Std;serif" w:hAnsi="Times New Roman PS Std;serif"/>
          <w:b w:val="false"/>
          <w:i w:val="false"/>
          <w:caps w:val="false"/>
          <w:smallCaps w:val="false"/>
          <w:sz w:val="20"/>
        </w:rPr>
        <w:t>), in each case to be effective as of and contingent upon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as of or prior to the Closing, AIR and Broadridge Corporate Issuer Solutions, LLC (the “</w:t>
      </w:r>
      <w:r>
        <w:rPr>
          <w:rFonts w:ascii="Times New Roman PS Std;serif" w:hAnsi="Times New Roman PS Std;serif"/>
          <w:b w:val="false"/>
          <w:i w:val="false"/>
          <w:caps w:val="false"/>
          <w:smallCaps w:val="false"/>
          <w:sz w:val="20"/>
          <w:u w:val="single"/>
        </w:rPr>
        <w:t>Rights Agent</w:t>
      </w:r>
      <w:r>
        <w:rPr>
          <w:caps w:val="false"/>
          <w:smallCaps w:val="false"/>
        </w:rPr>
        <w:t>”</w:t>
      </w:r>
      <w:r>
        <w:rPr>
          <w:rFonts w:ascii="Times New Roman PS Std;serif" w:hAnsi="Times New Roman PS Std;serif"/>
          <w:b w:val="false"/>
          <w:i w:val="false"/>
          <w:caps w:val="false"/>
          <w:smallCaps w:val="false"/>
          <w:sz w:val="20"/>
        </w:rPr>
        <w:t>) will enter into the Redemption Rights Agreement, pursuant to which the AIR Stockholders as of the Business Day prior to the Closing will have the right to cause AIR to redeem their shares of AIR Common Stock for an amount in cash equal to 107.3% of the Debt Adjusted AIR Share Price (such amount, the “</w:t>
      </w:r>
      <w:r>
        <w:rPr>
          <w:rFonts w:ascii="Times New Roman PS Std;serif" w:hAnsi="Times New Roman PS Std;serif"/>
          <w:b w:val="false"/>
          <w:i w:val="false"/>
          <w:caps w:val="false"/>
          <w:smallCaps w:val="false"/>
          <w:sz w:val="20"/>
          <w:u w:val="single"/>
        </w:rPr>
        <w:t>Redemption Price</w:t>
      </w:r>
      <w:r>
        <w:rPr>
          <w:caps w:val="false"/>
          <w:smallCaps w:val="false"/>
        </w:rPr>
        <w:t>”</w:t>
      </w:r>
      <w:r>
        <w:rPr>
          <w:rFonts w:ascii="Times New Roman PS Std;serif" w:hAnsi="Times New Roman PS Std;serif"/>
          <w:b w:val="false"/>
          <w:i w:val="false"/>
          <w:caps w:val="false"/>
          <w:smallCaps w:val="false"/>
          <w:sz w:val="20"/>
        </w:rPr>
        <w:t>) following the first anniversary of the Closing Date;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as of or prior to the Closing, AIR and the Tenax Members will enter into the Registration Rights Agreement, pursuant to which AIR will provide the Tenax Members with customary registration and demand rights for their shares of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following the filing and effectiveness of the AIR Charter Amendment with Nevada Secretary of State but prior to the Closing, AIR will file a certificate of change (the “</w:t>
      </w:r>
      <w:r>
        <w:rPr>
          <w:rFonts w:ascii="Times New Roman PS Std;serif" w:hAnsi="Times New Roman PS Std;serif"/>
          <w:b w:val="false"/>
          <w:i w:val="false"/>
          <w:caps w:val="false"/>
          <w:smallCaps w:val="false"/>
          <w:sz w:val="20"/>
          <w:u w:val="single"/>
        </w:rPr>
        <w:t>AIR Certificate of Change</w:t>
      </w:r>
      <w:r>
        <w:rPr>
          <w:caps w:val="false"/>
          <w:smallCaps w:val="false"/>
        </w:rPr>
        <w:t>”</w:t>
      </w:r>
      <w:r>
        <w:rPr>
          <w:rFonts w:ascii="Times New Roman PS Std;serif" w:hAnsi="Times New Roman PS Std;serif"/>
          <w:b w:val="false"/>
          <w:i w:val="false"/>
          <w:caps w:val="false"/>
          <w:smallCaps w:val="false"/>
          <w:sz w:val="20"/>
        </w:rPr>
        <w:t>) with the Nevada Secretary of State to effect, pursuant to NRS 78.207, a reverse stock split of the issued and outstanding shares of AIR Common Stock at a ratio of one post-split share of AIR Common Stock for every five pre-split shares of AIR Common Stock, while simultaneously reducing the number of authorized shares of AIR Common Stock under the articles of incorporation of AIR (after giving effect to the AIR Charter Amendment) by a corresponding factor, with any fractional share of AIR Common Stock otherwise resulting from the split rounded up to the nearest whole share (collectively, the “</w:t>
      </w:r>
      <w:r>
        <w:rPr>
          <w:rFonts w:ascii="Times New Roman PS Std;serif" w:hAnsi="Times New Roman PS Std;serif"/>
          <w:b w:val="false"/>
          <w:i w:val="false"/>
          <w:caps w:val="false"/>
          <w:smallCaps w:val="false"/>
          <w:sz w:val="20"/>
          <w:u w:val="single"/>
        </w:rPr>
        <w:t>AIR Reverse Stock Split</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intend that the Merger (a) qualifies as a tax-free exchange pursuant to Section 351(a) of the Code and (b) shall be treated in a manner consistent with Situation 3 of IRS Revenue Ruling 84-111.</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respective representations, warranties, covenants and agreements contained in this Agreement, and intending to be legally bound hereby, Tenax, AIR and Merger Sub hereby agree as follows: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DEFINED TERMS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val="false"/>
          <w:caps w:val="false"/>
          <w:smallCaps w:val="false"/>
          <w:sz w:val="20"/>
          <w:u w:val="single"/>
        </w:rPr>
        <w:t>Certain Defined Terms</w:t>
      </w:r>
      <w:r>
        <w:rPr>
          <w:rFonts w:ascii="Times New Roman PS Std;serif" w:hAnsi="Times New Roman PS Std;serif"/>
          <w:b w:val="false"/>
          <w:i w:val="false"/>
          <w:caps w:val="false"/>
          <w:smallCaps w:val="false"/>
          <w:sz w:val="20"/>
        </w:rPr>
        <w:t>. For purposes of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Acceptable AIR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customary confidentiality agreement between AIR and a Person who has made a proposal satisfying the requirements of </w:t>
      </w:r>
      <w:r>
        <w:rPr>
          <w:rFonts w:ascii="Times New Roman PS Std;serif" w:hAnsi="Times New Roman PS Std;serif"/>
          <w:b w:val="false"/>
          <w:i w:val="false"/>
          <w:caps w:val="false"/>
          <w:smallCaps w:val="false"/>
          <w:sz w:val="20"/>
          <w:u w:val="single"/>
        </w:rPr>
        <w:t>Section 7.02(c)</w:t>
      </w:r>
      <w:r>
        <w:rPr>
          <w:caps w:val="false"/>
          <w:smallCaps w:val="false"/>
        </w:rPr>
        <w:t xml:space="preserve"> </w:t>
      </w:r>
      <w:r>
        <w:rPr>
          <w:rFonts w:ascii="Times New Roman PS Std;serif" w:hAnsi="Times New Roman PS Std;serif"/>
          <w:b w:val="false"/>
          <w:i w:val="false"/>
          <w:caps w:val="false"/>
          <w:smallCaps w:val="false"/>
          <w:sz w:val="20"/>
        </w:rPr>
        <w:t>that contains terms no less favorable to AIR than those contained in the Confidentiality Agreement and does not include provisions requiring exclusive negotiations.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Acceptable Tenax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customary confidentiality agreement between Tenax and a Person who has made a proposal satisfying the requirements of </w:t>
      </w:r>
      <w:r>
        <w:rPr>
          <w:rFonts w:ascii="Times New Roman PS Std;serif" w:hAnsi="Times New Roman PS Std;serif"/>
          <w:b w:val="false"/>
          <w:i w:val="false"/>
          <w:caps w:val="false"/>
          <w:smallCaps w:val="false"/>
          <w:sz w:val="20"/>
          <w:u w:val="single"/>
        </w:rPr>
        <w:t>Section 7.02(h)</w:t>
      </w:r>
      <w:r>
        <w:rPr>
          <w:caps w:val="false"/>
          <w:smallCaps w:val="false"/>
        </w:rPr>
        <w:t xml:space="preserve"> </w:t>
      </w:r>
      <w:r>
        <w:rPr>
          <w:rFonts w:ascii="Times New Roman PS Std;serif" w:hAnsi="Times New Roman PS Std;serif"/>
          <w:b w:val="false"/>
          <w:i w:val="false"/>
          <w:caps w:val="false"/>
          <w:smallCaps w:val="false"/>
          <w:sz w:val="20"/>
        </w:rPr>
        <w:t>that contains terms no less favorable to Tenax than those contained in the Confidentiality Agreement and does not include provisions requiring exclusive negotiations.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litigation, suit, claim, action, proceeding or investigation.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Adverse Liquidity Event</w:t>
      </w:r>
      <w:r>
        <w:rPr>
          <w:caps w:val="false"/>
          <w:smallCaps w:val="false"/>
        </w:rPr>
        <w:t xml:space="preserve">” </w:t>
      </w:r>
      <w:r>
        <w:rPr>
          <w:rFonts w:ascii="Times New Roman PS Std;serif" w:hAnsi="Times New Roman PS Std;serif"/>
          <w:b w:val="false"/>
          <w:i w:val="false"/>
          <w:caps w:val="false"/>
          <w:smallCaps w:val="false"/>
          <w:sz w:val="20"/>
        </w:rPr>
        <w:t>means (a) an involuntary case or other proceeding shall have been commenced and is continuing against AIR or any of its Subsidiaries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or an Order for relief shall have been entered against AIR or any of its Subsidiaries under any such bankruptcy Laws as in effect on or after the date hereof; (b) AIR or any of its Subsidiaries shall have (i) voluntarily commenced any proceeding or filed any petition seeking liquidation, reorganization or other relief under any federal, state or foreign bankruptcy, insolvency, receivership or similar Law in effect on or after the date hereof, (ii) consented to the institution of, or failed to contest in a timely and appropriate manner, any case or other proceeding described in clause (a) of this definition, (iii) applied for or consented to the appointment of a receiver, trustee, custodian, sequestrator, conservator or similar official for the AIR or any of its Subsidiaries or for a substantial part of its assets, (iv) admitted in writing its inability to pay its debts as they become due, (v) made a general assignment for the benefit of creditors or (vi) taken any corporate action to authorize any of the foregoing clauses (i) through (v); or (c) AIR or any of its Subsidiaries (i) fails to make any payment required under the Webster Loan or any AIR Subordinated Note in a timely manner or (ii) fails to observe or perform any other agreement or condition relating to the Webster Loan or any AIR Subordinated Note, or any other event occurs, and such failure or other event results in the lender(s) under the Webster Loan or the holders of the AIR Subordinated Notes accelerating repayment of the Webster Loan (or any portion thereof) or any of the AIR Subordinated Notes such that the Webster Loan (or any portion thereof) or any AIR Subordinated Note is obligated to be repaid prior to its respective stated maturity.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of a Person means a Person who, directly or indirectly through one or more intermediaries, controls, is controlled by or is under common control with such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6% Convertible Notes</w:t>
      </w:r>
      <w:r>
        <w:rPr>
          <w:caps w:val="false"/>
          <w:smallCaps w:val="false"/>
        </w:rPr>
        <w:t xml:space="preserve">” </w:t>
      </w:r>
      <w:r>
        <w:rPr>
          <w:rFonts w:ascii="Times New Roman PS Std;serif" w:hAnsi="Times New Roman PS Std;serif"/>
          <w:b w:val="false"/>
          <w:i w:val="false"/>
          <w:caps w:val="false"/>
          <w:smallCaps w:val="false"/>
          <w:sz w:val="20"/>
        </w:rPr>
        <w:t>means AIR’s outstanding 6% Subordinated Notes, issued on January 1, 2021, and with a maturity date of October 1, 2026, which are convertible into shares of AIR Common Stock.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7% Convertible Notes</w:t>
      </w:r>
      <w:r>
        <w:rPr>
          <w:caps w:val="false"/>
          <w:smallCaps w:val="false"/>
        </w:rPr>
        <w:t xml:space="preserve">” </w:t>
      </w:r>
      <w:r>
        <w:rPr>
          <w:rFonts w:ascii="Times New Roman PS Std;serif" w:hAnsi="Times New Roman PS Std;serif"/>
          <w:b w:val="false"/>
          <w:i w:val="false"/>
          <w:caps w:val="false"/>
          <w:smallCaps w:val="false"/>
          <w:sz w:val="20"/>
        </w:rPr>
        <w:t>means AIR’s outstanding 7% Senior Subordinated Convertible Notes, issued on January 1, 2021, and with a maturity date of October 1, 2026, which are convertible into shares of AIR Common Stock.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12% Subordinated Notes</w:t>
      </w:r>
      <w:r>
        <w:rPr>
          <w:caps w:val="false"/>
          <w:smallCaps w:val="false"/>
        </w:rPr>
        <w:t xml:space="preserve">” </w:t>
      </w:r>
      <w:r>
        <w:rPr>
          <w:rFonts w:ascii="Times New Roman PS Std;serif" w:hAnsi="Times New Roman PS Std;serif"/>
          <w:b w:val="false"/>
          <w:i w:val="false"/>
          <w:caps w:val="false"/>
          <w:smallCaps w:val="false"/>
          <w:sz w:val="20"/>
        </w:rPr>
        <w:t>means AIR’s outstanding 12% Subordinated Notes, issued on January 1, 2021, and February 1, 2024, and with a maturity date of October 1, 2026.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Benefit Plan</w:t>
      </w:r>
      <w:r>
        <w:rPr>
          <w:caps w:val="false"/>
          <w:smallCaps w:val="false"/>
        </w:rPr>
        <w:t xml:space="preserve">” </w:t>
      </w:r>
      <w:r>
        <w:rPr>
          <w:rFonts w:ascii="Times New Roman PS Std;serif" w:hAnsi="Times New Roman PS Std;serif"/>
          <w:b w:val="false"/>
          <w:i w:val="false"/>
          <w:caps w:val="false"/>
          <w:smallCaps w:val="false"/>
          <w:sz w:val="20"/>
        </w:rPr>
        <w:t>means every Plan sponsored, maintained or contributed to, or required to be sponsored, maintained or contributed to, by AIR or any of its Subsidiaries or any of its ERISA Affiliates, to which AIR or any of its Subsidiaries or any of its ERISA Affiliates is a party, or with respect to which AIR or any of its Subsidiaries or any of its ERISA Affiliates may have any obligation or liability, whether actual or contingent.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each Collective Bargaining Agreement covering any AIR Service Provider or to which AIR or any of its Subsidiaries is a party or bound by.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Convertible Notes</w:t>
      </w:r>
      <w:r>
        <w:rPr>
          <w:caps w:val="false"/>
          <w:smallCaps w:val="false"/>
        </w:rPr>
        <w:t xml:space="preserve">” </w:t>
      </w:r>
      <w:r>
        <w:rPr>
          <w:rFonts w:ascii="Times New Roman PS Std;serif" w:hAnsi="Times New Roman PS Std;serif"/>
          <w:b w:val="false"/>
          <w:i w:val="false"/>
          <w:caps w:val="false"/>
          <w:smallCaps w:val="false"/>
          <w:sz w:val="20"/>
        </w:rPr>
        <w:t>means, collectively, the AIR 6% Convertible Notes and the AIR 7% Convertible Notes.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Disclosure Letter</w:t>
      </w:r>
      <w:r>
        <w:rPr>
          <w:caps w:val="false"/>
          <w:smallCaps w:val="false"/>
        </w:rPr>
        <w:t xml:space="preserve">” </w:t>
      </w:r>
      <w:r>
        <w:rPr>
          <w:rFonts w:ascii="Times New Roman PS Std;serif" w:hAnsi="Times New Roman PS Std;serif"/>
          <w:b w:val="false"/>
          <w:i w:val="false"/>
          <w:caps w:val="false"/>
          <w:smallCaps w:val="false"/>
          <w:sz w:val="20"/>
        </w:rPr>
        <w:t>means the disclosure letter dated as of the Original Execution Date and delivered by AIR to Tenax simultaneously with the signing of the Original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Equity Awards</w:t>
      </w:r>
      <w:r>
        <w:rPr>
          <w:caps w:val="false"/>
          <w:smallCaps w:val="false"/>
        </w:rPr>
        <w:t xml:space="preserve">” </w:t>
      </w:r>
      <w:r>
        <w:rPr>
          <w:rFonts w:ascii="Times New Roman PS Std;serif" w:hAnsi="Times New Roman PS Std;serif"/>
          <w:b w:val="false"/>
          <w:i w:val="false"/>
          <w:caps w:val="false"/>
          <w:smallCaps w:val="false"/>
          <w:sz w:val="20"/>
        </w:rPr>
        <w:t>means, collectively, the AIR RSU Awards and the AIR Stock Options.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Government Bid</w:t>
      </w:r>
      <w:r>
        <w:rPr>
          <w:caps w:val="false"/>
          <w:smallCaps w:val="false"/>
        </w:rPr>
        <w:t xml:space="preserve">” </w:t>
      </w:r>
      <w:r>
        <w:rPr>
          <w:rFonts w:ascii="Times New Roman PS Std;serif" w:hAnsi="Times New Roman PS Std;serif"/>
          <w:b w:val="false"/>
          <w:i w:val="false"/>
          <w:caps w:val="false"/>
          <w:smallCaps w:val="false"/>
          <w:sz w:val="20"/>
        </w:rPr>
        <w:t>means any pending bid, proposal, offer or quote for supplies or services made by AIR or any of its Subsidiaries that, if accepted, would result in an AIR Government Contract.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Government Contract</w:t>
      </w:r>
      <w:r>
        <w:rPr>
          <w:caps w:val="false"/>
          <w:smallCaps w:val="false"/>
        </w:rPr>
        <w:t xml:space="preserve">” </w:t>
      </w:r>
      <w:r>
        <w:rPr>
          <w:rFonts w:ascii="Times New Roman PS Std;serif" w:hAnsi="Times New Roman PS Std;serif"/>
          <w:b w:val="false"/>
          <w:i w:val="false"/>
          <w:caps w:val="false"/>
          <w:smallCaps w:val="false"/>
          <w:sz w:val="20"/>
        </w:rPr>
        <w:t>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AIR or any of its Subsidiaries by any Governmental Authority or by a prime contractor or higher-tier subcontractor (or proposed prime contractor or higher-tier subcontractor) under or in relation to such Contracts or (b) by AIR or any of its Subsidiaries under or in relation to such contracts to a subcontractor (or proposed subcontractor) at any tier. For the avoidance of doubt, a task order, purchase order or delivery order under an AIR Government Contract shall not constitute a separate AIR Government Contract for purposes of this definition, but shall be a part of the AIR Government Contract to which it relates.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IP</w:t>
      </w:r>
      <w:r>
        <w:rPr>
          <w:caps w:val="false"/>
          <w:smallCaps w:val="false"/>
        </w:rPr>
        <w:t xml:space="preserve">” </w:t>
      </w:r>
      <w:r>
        <w:rPr>
          <w:rFonts w:ascii="Times New Roman PS Std;serif" w:hAnsi="Times New Roman PS Std;serif"/>
          <w:b w:val="false"/>
          <w:i w:val="false"/>
          <w:caps w:val="false"/>
          <w:smallCaps w:val="false"/>
          <w:sz w:val="20"/>
        </w:rPr>
        <w:t>means all AIR Owned IP together with all Intellectual Property licensed by AIR or any of its Subsidiaries and used, held for use or planned for use in AIR’s business.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IP Agreements</w:t>
      </w:r>
      <w:r>
        <w:rPr>
          <w:caps w:val="false"/>
          <w:smallCaps w:val="false"/>
        </w:rPr>
        <w:t xml:space="preserve">” </w:t>
      </w:r>
      <w:r>
        <w:rPr>
          <w:rFonts w:ascii="Times New Roman PS Std;serif" w:hAnsi="Times New Roman PS Std;serif"/>
          <w:b w:val="false"/>
          <w:i w:val="false"/>
          <w:caps w:val="false"/>
          <w:smallCaps w:val="false"/>
          <w:sz w:val="20"/>
        </w:rPr>
        <w:t>means any contract: (a) pursuant to which any third-party Intellectual Property is licensed or provided to AIR or any of its Subsidiaries, other than (i) confidentiality and non-disclosure agreements entered into in the ordinary course of business, (ii) non-exclusive licenses for generally commercially available, off-the-shelf non-customized Software under standard, non-negotiated terms for a one-time or annual aggregate fee of less than $250,000,</w:t>
      </w:r>
      <w:r>
        <w:rPr>
          <w:caps w:val="false"/>
          <w:smallCaps w:val="false"/>
        </w:rPr>
        <w:t xml:space="preserve"> </w:t>
      </w:r>
      <w:r>
        <w:rPr>
          <w:rFonts w:ascii="Times New Roman PS Std;serif" w:hAnsi="Times New Roman PS Std;serif"/>
          <w:b w:val="false"/>
          <w:i w:val="false"/>
          <w:caps w:val="false"/>
          <w:smallCaps w:val="false"/>
          <w:sz w:val="20"/>
        </w:rPr>
        <w:t>(iii) licenses to Public Software, (iv) non-exclusive licenses granted to AIR or any of its Subsidiaries in the ordinary course of business and (v) contracts in which the license or grant of rights to use Intellectual Property is ancillary or incidental to the transaction contemplated by such contract; (b) pursuant to which AIR or any of its Subsidiaries has granted to any person any right or interest in any material AIR IP, including any right to use, or any option to acquire title to, any item of material AIR IP, other than (i) confidentiality and non-disclosure agreements entered into in the ordinary course of business, (ii) non-exclusive licenses granted in the ordinary course of business and (iii) contracts in which the license or grant of rights to use Intellectual Property is non-exclusive and merely ancillary or incidental to the transaction contemplated by such contract; or (c) to which AIR or any of its Subsidiaries is a party containing any covenant not to sue, concurrent use agreement, settlement agreement, co-existence agreement or other consent, in each case, with respect to any Intellectual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IT Assets</w:t>
      </w:r>
      <w:r>
        <w:rPr>
          <w:caps w:val="false"/>
          <w:smallCaps w:val="false"/>
        </w:rPr>
        <w:t xml:space="preserve">” </w:t>
      </w:r>
      <w:r>
        <w:rPr>
          <w:rFonts w:ascii="Times New Roman PS Std;serif" w:hAnsi="Times New Roman PS Std;serif"/>
          <w:b w:val="false"/>
          <w:i w:val="false"/>
          <w:caps w:val="false"/>
          <w:smallCaps w:val="false"/>
          <w:sz w:val="20"/>
        </w:rPr>
        <w:t>means all IT Assets owned, licensed, leased or used or held for use by AIR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Leased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leased, subleased, licensed or otherwise occupied by AIR or any of its Subsidiaries, as tenant, subtenant, licensee or occupant.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 the occurrence of an Adverse Liquidity Event or (b) any event, occurrence, state of facts, development, circumstance, change or effect that, individually or in the aggregate with all other events, occurrences, state of facts, developments, circumstances, changes and effects, (i) has had or would reasonably be expected to have a material adverse effect on the business, financial condition or results of operations of AIR and its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any event, occurrence, state of facts, development, circumstance, change or effect to the extent resulting from the following shall not be taken into account in determining whether an AIR Material Adverse Effect has occurred pursuant to this clause (b)(i):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facts or causes underlying or contributing to such change or failure shall be considered in determining whether an AIR Material Adverse Effect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each of clauses (B) through (F), AIR and its Subsidiaries, taken as a whole, are not affected disproportionately relative to other participants in the industries in which they operate; or (ii) would reasonably be expected to prevent or materially impede, materially interfere with, materially hinder or materially delay the consummation of the Transactions by AIR or Merger Sub or otherwise prevent either of AIR or Merger Sub from performing its obligations under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Owned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owned or purported to be owned or exclusively licensed by AIR or any of its Subsidiaries (whether solely or jointly with one or more other Persons) as of the Original Execution Date.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Owned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owned in fee simple by AIR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Permits</w:t>
      </w:r>
      <w:r>
        <w:rPr>
          <w:caps w:val="false"/>
          <w:smallCaps w:val="false"/>
        </w:rPr>
        <w:t xml:space="preserve">” </w:t>
      </w:r>
      <w:r>
        <w:rPr>
          <w:rFonts w:ascii="Times New Roman PS Std;serif" w:hAnsi="Times New Roman PS Std;serif"/>
          <w:b w:val="false"/>
          <w:i w:val="false"/>
          <w:caps w:val="false"/>
          <w:smallCaps w:val="false"/>
          <w:sz w:val="20"/>
        </w:rPr>
        <w:t>means franchises, grants, authorizations, licenses, permits, easements, variances, exceptions, consents, concessions, registrations, clearances, exemptions, certificates, filings, notices, approvals and orders of any Governmental Authority necessary for AIR and each of its Subsidiaries to own, lease and operate their respective properties and assets or to carry on their respective businesses as they are now being conducted.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Preferred Stock</w:t>
      </w:r>
      <w:r>
        <w:rPr>
          <w:caps w:val="false"/>
          <w:smallCaps w:val="false"/>
        </w:rPr>
        <w:t xml:space="preserve">” </w:t>
      </w:r>
      <w:r>
        <w:rPr>
          <w:rFonts w:ascii="Times New Roman PS Std;serif" w:hAnsi="Times New Roman PS Std;serif"/>
          <w:b w:val="false"/>
          <w:i w:val="false"/>
          <w:caps w:val="false"/>
          <w:smallCaps w:val="false"/>
          <w:sz w:val="20"/>
        </w:rPr>
        <w:t>means the preferred stock, par value $0.001 per share,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Real Property Leases</w:t>
      </w:r>
      <w:r>
        <w:rPr>
          <w:caps w:val="false"/>
          <w:smallCaps w:val="false"/>
        </w:rPr>
        <w:t xml:space="preserve">” </w:t>
      </w:r>
      <w:r>
        <w:rPr>
          <w:rFonts w:ascii="Times New Roman PS Std;serif" w:hAnsi="Times New Roman PS Std;serif"/>
          <w:b w:val="false"/>
          <w:i w:val="false"/>
          <w:caps w:val="false"/>
          <w:smallCaps w:val="false"/>
          <w:sz w:val="20"/>
        </w:rPr>
        <w:t>means all leases, subleases, licenses, occupancy agreements and other agreements under which AIR or any of its Subsidiaries uses or occupies, or has the right to use or occupy, any AIR Leased Real Property (including all guaranties and assignments thereof and all modifications, amendments, supplements and side letters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RSU Awards</w:t>
      </w:r>
      <w:r>
        <w:rPr>
          <w:caps w:val="false"/>
          <w:smallCaps w:val="false"/>
        </w:rPr>
        <w:t xml:space="preserve">” </w:t>
      </w:r>
      <w:r>
        <w:rPr>
          <w:rFonts w:ascii="Times New Roman PS Std;serif" w:hAnsi="Times New Roman PS Std;serif"/>
          <w:b w:val="false"/>
          <w:i w:val="false"/>
          <w:caps w:val="false"/>
          <w:smallCaps w:val="false"/>
          <w:sz w:val="20"/>
        </w:rPr>
        <w:t>means restricted stock units with respect to shares of AIR Common Stock granted pursuant to the AIR Stock Plans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Service Provider</w:t>
      </w:r>
      <w:r>
        <w:rPr>
          <w:caps w:val="false"/>
          <w:smallCaps w:val="false"/>
        </w:rPr>
        <w:t xml:space="preserve">” </w:t>
      </w:r>
      <w:r>
        <w:rPr>
          <w:rFonts w:ascii="Times New Roman PS Std;serif" w:hAnsi="Times New Roman PS Std;serif"/>
          <w:b w:val="false"/>
          <w:i w:val="false"/>
          <w:caps w:val="false"/>
          <w:smallCaps w:val="false"/>
          <w:sz w:val="20"/>
        </w:rPr>
        <w:t>means each of the directors, officers, employees and independent contractors of AIR and each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w:t>
      </w:r>
      <w:r>
        <w:rPr>
          <w:caps w:val="false"/>
          <w:smallCaps w:val="false"/>
        </w:rPr>
        <w:t xml:space="preserve">” </w:t>
      </w:r>
      <w:r>
        <w:rPr>
          <w:rFonts w:ascii="Times New Roman PS Std;serif" w:hAnsi="Times New Roman PS Std;serif"/>
          <w:b w:val="false"/>
          <w:i w:val="false"/>
          <w:caps w:val="false"/>
          <w:smallCaps w:val="false"/>
          <w:sz w:val="20"/>
        </w:rPr>
        <w:t>means, collectively, the AIR Common Stock and the AIR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 Options</w:t>
      </w:r>
      <w:r>
        <w:rPr>
          <w:caps w:val="false"/>
          <w:smallCaps w:val="false"/>
        </w:rPr>
        <w:t xml:space="preserve">” </w:t>
      </w:r>
      <w:r>
        <w:rPr>
          <w:rFonts w:ascii="Times New Roman PS Std;serif" w:hAnsi="Times New Roman PS Std;serif"/>
          <w:b w:val="false"/>
          <w:i w:val="false"/>
          <w:caps w:val="false"/>
          <w:smallCaps w:val="false"/>
          <w:sz w:val="20"/>
        </w:rPr>
        <w:t>means options to purchase shares of AIR Common Stock granted pursuant to the AIR Stock Plans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 Plans</w:t>
      </w:r>
      <w:r>
        <w:rPr>
          <w:caps w:val="false"/>
          <w:smallCaps w:val="false"/>
        </w:rPr>
        <w:t xml:space="preserve">” </w:t>
      </w:r>
      <w:r>
        <w:rPr>
          <w:rFonts w:ascii="Times New Roman PS Std;serif" w:hAnsi="Times New Roman PS Std;serif"/>
          <w:b w:val="false"/>
          <w:i w:val="false"/>
          <w:caps w:val="false"/>
          <w:smallCaps w:val="false"/>
          <w:sz w:val="20"/>
        </w:rPr>
        <w:t>means the AIR 2022 Equity Incentive Plan, the AIR 2017 Equity Incentive Plan, the AIR 2016 Equity Incentive Plan and the AIR 2015 Equity Incentive Plan, each as amended or amended and restated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Stockholder Approvals</w:t>
      </w:r>
      <w:r>
        <w:rPr>
          <w:caps w:val="false"/>
          <w:smallCaps w:val="false"/>
        </w:rPr>
        <w:t xml:space="preserve">” </w:t>
      </w:r>
      <w:r>
        <w:rPr>
          <w:rFonts w:ascii="Times New Roman PS Std;serif" w:hAnsi="Times New Roman PS Std;serif"/>
          <w:b w:val="false"/>
          <w:i w:val="false"/>
          <w:caps w:val="false"/>
          <w:smallCaps w:val="false"/>
          <w:sz w:val="20"/>
        </w:rPr>
        <w:t>means, collectively, (a) the approval of the AIR Charter Amendment at the AIR Stockholders Meeting by such proportion of the voting power of the holders of the AIR Common Stock as is required therefor under the NRS and the articles of incorporation and bylaws of AIR; and (b) the approval of the AIR Stock Issuance at the AIR Stockholders Meeting by such proportion of the voting power of the holders of the AIR Common Stock as is required therefor under the NRS and the articles of incorporation and bylaws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Subordinated Notes</w:t>
      </w:r>
      <w:r>
        <w:rPr>
          <w:caps w:val="false"/>
          <w:smallCaps w:val="false"/>
        </w:rPr>
        <w:t xml:space="preserve">” </w:t>
      </w:r>
      <w:r>
        <w:rPr>
          <w:rFonts w:ascii="Times New Roman PS Std;serif" w:hAnsi="Times New Roman PS Std;serif"/>
          <w:b w:val="false"/>
          <w:i w:val="false"/>
          <w:caps w:val="false"/>
          <w:smallCaps w:val="false"/>
          <w:sz w:val="20"/>
        </w:rPr>
        <w:t>means, collectively, the AIR 6% Convertible Notes, the AIR 7% Convertible Notes and the AIR 12% Subordinated Notes.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Artificial Intelligence Tools</w:t>
      </w:r>
      <w:r>
        <w:rPr>
          <w:caps w:val="false"/>
          <w:smallCaps w:val="false"/>
        </w:rPr>
        <w:t xml:space="preserve">” </w:t>
      </w:r>
      <w:r>
        <w:rPr>
          <w:rFonts w:ascii="Times New Roman PS Std;serif" w:hAnsi="Times New Roman PS Std;serif"/>
          <w:b w:val="false"/>
          <w:i w:val="false"/>
          <w:caps w:val="false"/>
          <w:smallCaps w:val="false"/>
          <w:sz w:val="20"/>
        </w:rPr>
        <w:t>means technologies or tools involving deep learning, machine learning, computer vision, natural language processing (or large language models), including any and all Software and systems that employ neural networks, statistical learning algorithms (such as linear and logistic regression, support vector machines, random forests, k-means clustering) or reinforcement learning.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beneficial owner</w:t>
      </w:r>
      <w:r>
        <w:rPr>
          <w:caps w:val="false"/>
          <w:smallCaps w:val="false"/>
        </w:rPr>
        <w:t xml:space="preserve">” </w:t>
      </w:r>
      <w:r>
        <w:rPr>
          <w:rFonts w:ascii="Times New Roman PS Std;serif" w:hAnsi="Times New Roman PS Std;serif"/>
          <w:b w:val="false"/>
          <w:i w:val="false"/>
          <w:caps w:val="false"/>
          <w:smallCaps w:val="false"/>
          <w:sz w:val="20"/>
        </w:rPr>
        <w:t>has the meaning ascribed to such term under Rule 13d-3 of the Exchange 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Blue Sky Laws</w:t>
      </w:r>
      <w:r>
        <w:rPr>
          <w:caps w:val="false"/>
          <w:smallCaps w:val="false"/>
        </w:rPr>
        <w:t xml:space="preserve">” </w:t>
      </w:r>
      <w:r>
        <w:rPr>
          <w:rFonts w:ascii="Times New Roman PS Std;serif" w:hAnsi="Times New Roman PS Std;serif"/>
          <w:b w:val="false"/>
          <w:i w:val="false"/>
          <w:caps w:val="false"/>
          <w:smallCaps w:val="false"/>
          <w:sz w:val="20"/>
        </w:rPr>
        <w:t>means state securities “blue sky” Laws.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on which banks are not required or authorized to close in the City of New York.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Capitalization Date</w:t>
      </w:r>
      <w:r>
        <w:rPr>
          <w:caps w:val="false"/>
          <w:smallCaps w:val="false"/>
        </w:rPr>
        <w:t xml:space="preserve">” </w:t>
      </w:r>
      <w:r>
        <w:rPr>
          <w:rFonts w:ascii="Times New Roman PS Std;serif" w:hAnsi="Times New Roman PS Std;serif"/>
          <w:b w:val="false"/>
          <w:i w:val="false"/>
          <w:caps w:val="false"/>
          <w:smallCaps w:val="false"/>
          <w:sz w:val="20"/>
        </w:rPr>
        <w:t>means September 30, 2025.</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Closing Date</w:t>
      </w:r>
      <w:r>
        <w:rPr>
          <w:caps w:val="false"/>
          <w:smallCaps w:val="false"/>
        </w:rPr>
        <w:t xml:space="preserve">” </w:t>
      </w:r>
      <w:r>
        <w:rPr>
          <w:rFonts w:ascii="Times New Roman PS Std;serif" w:hAnsi="Times New Roman PS Std;serif"/>
          <w:b w:val="false"/>
          <w:i w:val="false"/>
          <w:caps w:val="false"/>
          <w:smallCaps w:val="false"/>
          <w:sz w:val="20"/>
        </w:rPr>
        <w:t>means the date on which the Closing occurs.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each collective bargaining, works council or other labor union contract or labor arrangement.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AIR Proposal</w:t>
      </w:r>
      <w:r>
        <w:rPr>
          <w:caps w:val="false"/>
          <w:smallCaps w:val="false"/>
        </w:rPr>
        <w:t xml:space="preserve">” </w:t>
      </w:r>
      <w:r>
        <w:rPr>
          <w:rFonts w:ascii="Times New Roman PS Std;serif" w:hAnsi="Times New Roman PS Std;serif"/>
          <w:b w:val="false"/>
          <w:i w:val="false"/>
          <w:caps w:val="false"/>
          <w:smallCaps w:val="false"/>
          <w:sz w:val="20"/>
        </w:rPr>
        <w:t>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AIR Transaction Agreement</w:t>
      </w:r>
      <w:r>
        <w:rPr>
          <w:caps w:val="false"/>
          <w:smallCaps w:val="false"/>
        </w:rPr>
        <w:t xml:space="preserve">” </w:t>
      </w:r>
      <w:r>
        <w:rPr>
          <w:rFonts w:ascii="Times New Roman PS Std;serif" w:hAnsi="Times New Roman PS Std;serif"/>
          <w:b w:val="false"/>
          <w:i w:val="false"/>
          <w:caps w:val="false"/>
          <w:smallCaps w:val="false"/>
          <w:sz w:val="20"/>
        </w:rPr>
        <w:t>means a binding letter of intent, memorandum of understanding, agreement in principle, merger agreement, acquisition agreement, option agreement or other Contract or agreement which contemplates or which would reasonably be expected to lead to any Competing AIR Proposal (other than an Acceptable AIR Confidentiality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Tenax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Tenax Transaction Agreement</w:t>
      </w:r>
      <w:r>
        <w:rPr>
          <w:caps w:val="false"/>
          <w:smallCaps w:val="false"/>
        </w:rPr>
        <w:t xml:space="preserve">” </w:t>
      </w:r>
      <w:r>
        <w:rPr>
          <w:rFonts w:ascii="Times New Roman PS Std;serif" w:hAnsi="Times New Roman PS Std;serif"/>
          <w:b w:val="false"/>
          <w:i w:val="false"/>
          <w:caps w:val="false"/>
          <w:smallCaps w:val="false"/>
          <w:sz w:val="20"/>
        </w:rPr>
        <w:t>means a binding letter of intent, memorandum of understanding, agreement in principle, merger agreement, acquisition agreement, option agreement or other Contract or agreement which contemplates or which would reasonably be expected to lead to any Competing Tenax Proposal (other than an Acceptable Tenax Confidentiality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dated as of June 25, 2025, between AIR and Tenax or their Representatives or Affiliates.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loan or credit agreement, bond, debenture, note, mortgage, indenture, deed of trust, lease, supply agreement, license agreement, development agreement or other contract, agreement, obligation, commitment or instrument that is intended by the parties thereto to be legally binding, in each case, including all amendments, supplements, restatements or other modifications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the terms “</w:t>
      </w:r>
      <w:r>
        <w:rPr>
          <w:rFonts w:ascii="Times New Roman PS Std;serif" w:hAnsi="Times New Roman PS Std;serif"/>
          <w:b w:val="false"/>
          <w:i w:val="false"/>
          <w:caps w:val="false"/>
          <w:smallCaps w:val="false"/>
          <w:sz w:val="20"/>
          <w:u w:val="single"/>
        </w:rPr>
        <w:t>controlled by</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under common control with</w:t>
      </w:r>
      <w:r>
        <w:rPr>
          <w:caps w:val="false"/>
          <w:smallCaps w:val="false"/>
        </w:rPr>
        <w:t>”</w:t>
      </w:r>
      <w:r>
        <w:rPr>
          <w:rFonts w:ascii="Times New Roman PS Std;serif" w:hAnsi="Times New Roman PS Std;serif"/>
          <w:b w:val="false"/>
          <w:i w:val="false"/>
          <w:caps w:val="false"/>
          <w:smallCaps w:val="false"/>
          <w:sz w:val="20"/>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r>
        <w:rPr>
          <w:rFonts w:ascii="Times New Roman PS Std;serif" w:hAnsi="Times New Roman PS Std;serif"/>
          <w:b w:val="false"/>
          <w:i w:val="false"/>
          <w:caps w:val="false"/>
          <w:smallCaps w:val="false"/>
          <w:sz w:val="20"/>
          <w:u w:val="single"/>
        </w:rPr>
        <w:t>DLLCA</w:t>
      </w:r>
      <w:r>
        <w:rPr>
          <w:caps w:val="false"/>
          <w:smallCaps w:val="false"/>
        </w:rPr>
        <w:t xml:space="preserve">” </w:t>
      </w:r>
      <w:r>
        <w:rPr>
          <w:rFonts w:ascii="Times New Roman PS Std;serif" w:hAnsi="Times New Roman PS Std;serif"/>
          <w:b w:val="false"/>
          <w:i w:val="false"/>
          <w:caps w:val="false"/>
          <w:smallCaps w:val="false"/>
          <w:sz w:val="20"/>
        </w:rPr>
        <w:t>means the Limited Liability Company Act of the State of Delaware.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Debt Adjusted AIR Share Price</w:t>
      </w:r>
      <w:r>
        <w:rPr>
          <w:caps w:val="false"/>
          <w:smallCaps w:val="false"/>
        </w:rPr>
        <w:t xml:space="preserve">” </w:t>
      </w:r>
      <w:r>
        <w:rPr>
          <w:rFonts w:ascii="Times New Roman PS Std;serif" w:hAnsi="Times New Roman PS Std;serif"/>
          <w:b w:val="false"/>
          <w:i w:val="false"/>
          <w:caps w:val="false"/>
          <w:smallCaps w:val="false"/>
          <w:sz w:val="20"/>
        </w:rPr>
        <w:t xml:space="preserve">means $3.05, subject to adjustment in accordance with </w:t>
      </w:r>
      <w:r>
        <w:rPr>
          <w:rFonts w:ascii="Times New Roman PS Std;serif" w:hAnsi="Times New Roman PS Std;serif"/>
          <w:b w:val="false"/>
          <w:i w:val="false"/>
          <w:caps w:val="false"/>
          <w:smallCaps w:val="false"/>
          <w:sz w:val="20"/>
          <w:u w:val="single"/>
        </w:rPr>
        <w:t>Section 3.03</w:t>
      </w:r>
      <w:r>
        <w:rPr>
          <w:caps w:val="false"/>
          <w:smallCaps w:val="false"/>
        </w:rPr>
        <w:t xml:space="preserve"> </w:t>
      </w:r>
      <w:r>
        <w:rPr>
          <w:rFonts w:ascii="Times New Roman PS Std;serif" w:hAnsi="Times New Roman PS Std;serif"/>
          <w:b w:val="false"/>
          <w:i w:val="false"/>
          <w:caps w:val="false"/>
          <w:smallCaps w:val="false"/>
          <w:sz w:val="20"/>
        </w:rPr>
        <w:t>($15.25 after giving effect the AIR Reverse Stock Split).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Encumbrances</w:t>
      </w:r>
      <w:r>
        <w:rPr>
          <w:caps w:val="false"/>
          <w:smallCaps w:val="false"/>
        </w:rPr>
        <w:t xml:space="preserve">” </w:t>
      </w:r>
      <w:r>
        <w:rPr>
          <w:rFonts w:ascii="Times New Roman PS Std;serif" w:hAnsi="Times New Roman PS Std;serif"/>
          <w:b w:val="false"/>
          <w:i w:val="false"/>
          <w:caps w:val="false"/>
          <w:smallCaps w:val="false"/>
          <w:sz w:val="20"/>
        </w:rPr>
        <w:t>means mortgages, deeds of trust, pledges, liens, security interests, hypothecations, conditional and installment sale agreements, encumbrances, charges or other claims of third parties or restrictions of any kind, including any easement, reversion interest, right of way or other encumbrance to title, limitations on voting rights or disposition rights or any option, right of first refusal or right of first offer.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any Law relating to pollution or protection of the environment, climate, natural resources, threatened or endangered species or, as it relates to exposure to hazardous or toxic materials, human health and safety.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and other authorizations required under any Environmental Law.</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any other entity that, together with such entity, would be treated as a single employer under Section 414 of the Code.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Expenses</w:t>
      </w:r>
      <w:r>
        <w:rPr>
          <w:caps w:val="false"/>
          <w:smallCaps w:val="false"/>
        </w:rPr>
        <w:t xml:space="preserve">” </w:t>
      </w:r>
      <w:r>
        <w:rPr>
          <w:rFonts w:ascii="Times New Roman PS Std;serif" w:hAnsi="Times New Roman PS Std;serif"/>
          <w:b w:val="false"/>
          <w:i w:val="false"/>
          <w:caps w:val="false"/>
          <w:smallCaps w:val="false"/>
          <w:sz w:val="20"/>
        </w:rPr>
        <w:t>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securityholder approvals, the filing of any required notices under applicable foreign, federal or state antitrust, competition, fair trade or similar Laws or other similar regulations and all other matters related to the closing of the Transactions, including the Merger, but, for the avoidance of doubt, shall not include the cost of grants of stock or other compensation paid to management or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United States generally accepted accounting principles in effect from time to time, applied consistently throughout the periods involved.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Governmental Authority</w:t>
      </w:r>
      <w:r>
        <w:rPr>
          <w:caps w:val="false"/>
          <w:smallCaps w:val="false"/>
        </w:rPr>
        <w:t xml:space="preserve">” </w:t>
      </w:r>
      <w:r>
        <w:rPr>
          <w:rFonts w:ascii="Times New Roman PS Std;serif" w:hAnsi="Times New Roman PS Std;serif"/>
          <w:b w:val="false"/>
          <w:i w:val="false"/>
          <w:caps w:val="false"/>
          <w:smallCaps w:val="false"/>
          <w:sz w:val="20"/>
        </w:rPr>
        <w:t xml:space="preserve">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 PS Std;serif" w:hAnsi="Times New Roman PS Std;serif"/>
          <w:b w:val="false"/>
          <w:i w:val="false"/>
          <w:caps w:val="false"/>
          <w:smallCaps w:val="false"/>
          <w:sz w:val="20"/>
          <w:u w:val="single"/>
        </w:rPr>
        <w:t>Section 4.21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5.21</w:t>
      </w:r>
      <w:r>
        <w:rPr>
          <w:rFonts w:ascii="Times New Roman PS Std;serif" w:hAnsi="Times New Roman PS Std;serif"/>
          <w:b w:val="false"/>
          <w:i w:val="false"/>
          <w:caps w:val="false"/>
          <w:smallCaps w:val="false"/>
          <w:sz w:val="20"/>
        </w:rPr>
        <w:t>, the term “</w:t>
      </w:r>
      <w:r>
        <w:rPr>
          <w:rFonts w:ascii="Times New Roman PS Std;serif" w:hAnsi="Times New Roman PS Std;serif"/>
          <w:b w:val="false"/>
          <w:i w:val="false"/>
          <w:caps w:val="false"/>
          <w:smallCaps w:val="false"/>
          <w:sz w:val="20"/>
          <w:u w:val="single"/>
        </w:rPr>
        <w:t>Governmental Authority</w:t>
      </w:r>
      <w:r>
        <w:rPr>
          <w:caps w:val="false"/>
          <w:smallCaps w:val="false"/>
        </w:rPr>
        <w:t xml:space="preserve">” </w:t>
      </w:r>
      <w:r>
        <w:rPr>
          <w:rFonts w:ascii="Times New Roman PS Std;serif" w:hAnsi="Times New Roman PS Std;serif"/>
          <w:b w:val="false"/>
          <w:i w:val="false"/>
          <w:caps w:val="false"/>
          <w:smallCaps w:val="false"/>
          <w:sz w:val="20"/>
        </w:rPr>
        <w:t>shall also include any entity owned or controlled by a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Hazardous Materials</w:t>
      </w:r>
      <w:r>
        <w:rPr>
          <w:caps w:val="false"/>
          <w:smallCaps w:val="false"/>
        </w:rPr>
        <w:t xml:space="preserve">” </w:t>
      </w:r>
      <w:r>
        <w:rPr>
          <w:rFonts w:ascii="Times New Roman PS Std;serif" w:hAnsi="Times New Roman PS Std;serif"/>
          <w:b w:val="false"/>
          <w:i w:val="false"/>
          <w:caps w:val="false"/>
          <w:smallCaps w:val="false"/>
          <w:sz w:val="20"/>
        </w:rPr>
        <w:t>means any petroleum or petroleum products, radioactive materials, medical wastes, asbestos, polychlorinated biphenyls, per- and poly-fluorinated substances, hazardous or toxic substances and any other chemical, material, substance or waste that is regulated or that forms the basis of liability under any Environmental Law.</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all obligations or undertakings by such Person (a) for borrowed money (including deposits or advances of any kind to such Person); (b) evidenced by bonds, debentures, notes or similar instruments; (c) for capitalized leases or to pay the deferred and unpaid purchase price of property, equipment or services; (d) pursuant to securitization or factoring programs or arrangements; (e) pursuant to guarantees and arrangements having the economic effect of a guarantee of any Indebtedness; (f) to maintain or cause to be maintained the financing or financial position of others; (g) net cash payment obligations of such Person under swaps, options, derivatives and other hedging Contracts or arrangements that will be payable upon termination thereof (assuming termination on the date of determination); (h) letters of credit, bank guarantees and other similar Contracts or arrangements entered into by or on behalf of such Person to the extent they have been drawn upon; and (i) all Indebtedness of a type referred to in clauses (a) through (h) above of any Person secured by (or for which the holder of such Indebtedness has a right, contingent or otherwise, to be secured by) any Encumbrance on any property or assets owned by such Person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worldwide rights in or to patents and patent applications, including, in each case, any provisionals, substitutions, divisionals, continuations, continuations-in-part, re-examinations, renewals, extensions, reissues and equivalents thereof in any jurisdiction; (b) registered or unregistered trademarks, trade dress, trade names, brand names, corporate names, service marks, certification marks, designs, logos, slogans and other indications of origin, the goodwill associated with the foregoing and registrations and applications to register, the foregoing, including any extension, modification or renewal of any such registration or application; (c) works of authorship and copyrights (including copyrights in Software and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know-how (including all ideas, concepts, research and development) and other proprietary information, whether or not patentable, including inventions, discoveries, prototypes, results or data in any jurisdiction with respect to the foregoing, in each case, that derives economic value, whether actual or potential, from not being generally known to other persons (collectively,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(f) Software; (g) analyses, development tools, information (including scientific, technical, or regulatory information), testing procedures, testing results and business, financial, sales and marketing plans, compilations, processes, methods,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and (h) any and all other similar or equivalent intellectual property rights anywhere in the world.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material event, fact, circumstance, effect, development or occurrence that (a) was not known to, or reasonably foreseeable by, the AIR Board as of the date hereof or, if known, the material consequences of which were not known or reasonably foreseeable as of the date hereof and (b) does not involve or relate to the receipt, existence or terms of any Competing AIR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event, fact, circumstance, effect, development or occurrence arising out of, or resulting from, the following should constitute or be taken into account in determining whether an Intervening Event has occurred: (i) any Competing AIR Proposal or any actual or potential acquisition of assets or businesses from AIR or any of its Subsidiaries or (ii) any of the following: (A) any change in the market price, trading volume or credit ratings of AIR Common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facts or causes underlying or contributing to such change or failure shall be considered in determining whether an Intervening Event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IT Assets</w:t>
      </w:r>
      <w:r>
        <w:rPr>
          <w:caps w:val="false"/>
          <w:smallCaps w:val="false"/>
        </w:rPr>
        <w:t xml:space="preserve">” </w:t>
      </w:r>
      <w:r>
        <w:rPr>
          <w:rFonts w:ascii="Times New Roman PS Std;serif" w:hAnsi="Times New Roman PS Std;serif"/>
          <w:b w:val="false"/>
          <w:i w:val="false"/>
          <w:caps w:val="false"/>
          <w:smallCaps w:val="false"/>
          <w:sz w:val="20"/>
        </w:rPr>
        <w:t>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“Software-as-a-Service”), and the documentation, reference and resource materials relating thereto and all Contracts and contractual rights required in connection with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knowledge of AIR</w:t>
      </w:r>
      <w:r>
        <w:rPr>
          <w:caps w:val="false"/>
          <w:smallCaps w:val="false"/>
        </w:rPr>
        <w:t xml:space="preserve">” </w:t>
      </w:r>
      <w:r>
        <w:rPr>
          <w:rFonts w:ascii="Times New Roman PS Std;serif" w:hAnsi="Times New Roman PS Std;serif"/>
          <w:b w:val="false"/>
          <w:i w:val="false"/>
          <w:caps w:val="false"/>
          <w:smallCaps w:val="false"/>
          <w:sz w:val="20"/>
        </w:rPr>
        <w:t>means the actual knowledge of the individuals listed in Section 1.02 of the AIR Disclosure Letter or what such individuals would reasonably be expected to know after making reasonable inquiry of the executives and managers having primary responsibility for the applicable matter.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knowledge of Tenax</w:t>
      </w:r>
      <w:r>
        <w:rPr>
          <w:caps w:val="false"/>
          <w:smallCaps w:val="false"/>
        </w:rPr>
        <w:t xml:space="preserve">” </w:t>
      </w:r>
      <w:r>
        <w:rPr>
          <w:rFonts w:ascii="Times New Roman PS Std;serif" w:hAnsi="Times New Roman PS Std;serif"/>
          <w:b w:val="false"/>
          <w:i w:val="false"/>
          <w:caps w:val="false"/>
          <w:smallCaps w:val="false"/>
          <w:sz w:val="20"/>
        </w:rPr>
        <w:t>means the actual knowledge of the individuals listed in Section 1.01 of the Tenax Disclosure Letter or what such individuals would reasonably be expected to know after making reasonable inquiry of the executives and managers having primary responsibility for the applicable matter.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federal, state, local, national, supranational, foreign or administrative law (including common law), statute, ordinance, regulation, requirement, regulatory interpretation, rule, code or Order.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126,900,000 shares of AIR Common Stock, subject to adjustment in accordance with </w:t>
      </w:r>
      <w:r>
        <w:rPr>
          <w:rFonts w:ascii="Times New Roman PS Std;serif" w:hAnsi="Times New Roman PS Std;serif"/>
          <w:b w:val="false"/>
          <w:i w:val="false"/>
          <w:caps w:val="false"/>
          <w:smallCaps w:val="false"/>
          <w:sz w:val="20"/>
          <w:u w:val="single"/>
        </w:rPr>
        <w:t>Section 3.03</w:t>
      </w:r>
      <w:r>
        <w:rPr>
          <w:caps w:val="false"/>
          <w:smallCaps w:val="false"/>
        </w:rPr>
        <w:t xml:space="preserve"> </w:t>
      </w:r>
      <w:r>
        <w:rPr>
          <w:rFonts w:ascii="Times New Roman PS Std;serif" w:hAnsi="Times New Roman PS Std;serif"/>
          <w:b w:val="false"/>
          <w:i w:val="false"/>
          <w:caps w:val="false"/>
          <w:smallCaps w:val="false"/>
          <w:sz w:val="20"/>
        </w:rPr>
        <w:t>(25,380,000 shares of AIR Common Stock after giving effect to the AIR Reverse Stock Split).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NRS</w:t>
      </w:r>
      <w:r>
        <w:rPr>
          <w:caps w:val="false"/>
          <w:smallCaps w:val="false"/>
        </w:rPr>
        <w:t xml:space="preserve">” </w:t>
      </w:r>
      <w:r>
        <w:rPr>
          <w:rFonts w:ascii="Times New Roman PS Std;serif" w:hAnsi="Times New Roman PS Std;serif"/>
          <w:b w:val="false"/>
          <w:i w:val="false"/>
          <w:caps w:val="false"/>
          <w:smallCaps w:val="false"/>
          <w:sz w:val="20"/>
        </w:rPr>
        <w:t>means the Nevada Revised Statutes.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NYSE American</w:t>
      </w:r>
      <w:r>
        <w:rPr>
          <w:caps w:val="false"/>
          <w:smallCaps w:val="false"/>
        </w:rPr>
        <w:t xml:space="preserve">” </w:t>
      </w:r>
      <w:r>
        <w:rPr>
          <w:rFonts w:ascii="Times New Roman PS Std;serif" w:hAnsi="Times New Roman PS Std;serif"/>
          <w:b w:val="false"/>
          <w:i w:val="false"/>
          <w:caps w:val="false"/>
          <w:smallCaps w:val="false"/>
          <w:sz w:val="20"/>
        </w:rPr>
        <w:t>means the NYSE American stock exchange.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judgment, injunction, award, decision, determination, stipulation, ruling, subpoena, writ, decree or verdict entered by or with any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Outside Date</w:t>
      </w:r>
      <w:r>
        <w:rPr>
          <w:caps w:val="false"/>
          <w:smallCaps w:val="false"/>
        </w:rPr>
        <w:t xml:space="preserve">” </w:t>
      </w:r>
      <w:r>
        <w:rPr>
          <w:rFonts w:ascii="Times New Roman PS Std;serif" w:hAnsi="Times New Roman PS Std;serif"/>
          <w:b w:val="false"/>
          <w:i w:val="false"/>
          <w:caps w:val="false"/>
          <w:smallCaps w:val="false"/>
          <w:sz w:val="20"/>
        </w:rPr>
        <w:t>means September 30, 2026.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Permitted Encumbrances</w:t>
      </w:r>
      <w:r>
        <w:rPr>
          <w:caps w:val="false"/>
          <w:smallCaps w:val="false"/>
        </w:rPr>
        <w:t xml:space="preserve">” </w:t>
      </w:r>
      <w:r>
        <w:rPr>
          <w:rFonts w:ascii="Times New Roman PS Std;serif" w:hAnsi="Times New Roman PS Std;serif"/>
          <w:b w:val="false"/>
          <w:i w:val="false"/>
          <w:caps w:val="false"/>
          <w:smallCaps w:val="false"/>
          <w:sz w:val="20"/>
        </w:rPr>
        <w:t xml:space="preserve">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Encumbrances arising or incurred in the ordinary course of business for amounts not yet due and payable, or the amount or validity of which is being contested in good faith by appropriate proceedings and for which appropriate reserves have been established in accordance with GAAP;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secure payment of, worker’s compensation, unemployment insurance or old age pension programs mandated under applicable Laws; (e) covenants, conditions, restrictions, easements and other similar non-monetary matters of record that would not reasonably be expected to, individually or in the aggregate, adversely affect the current occupancy or use of the subject real property in any material respect; (f) restrictions on the transfer of securities arising under federal and state securities Laws; and (g) any Encumbrances caused by state statutes or specific provisions of real property leases, in each case, with respect to tenant’s personal property, fixtures and/or leasehold improvements at the subject leased real property.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partnership, limited partnership, limited liability company, syndicate, person (as defined in Section 13(d)(3) of the Exchange Act), trust, association, entity or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Personal Data</w:t>
      </w:r>
      <w:r>
        <w:rPr>
          <w:caps w:val="false"/>
          <w:smallCaps w:val="false"/>
        </w:rPr>
        <w:t xml:space="preserve">” </w:t>
      </w:r>
      <w:r>
        <w:rPr>
          <w:rFonts w:ascii="Times New Roman PS Std;serif" w:hAnsi="Times New Roman PS Std;serif"/>
          <w:b w:val="false"/>
          <w:i w:val="false"/>
          <w:caps w:val="false"/>
          <w:smallCaps w:val="false"/>
          <w:sz w:val="20"/>
        </w:rPr>
        <w:t>means (a) any information defined as “personal data”, “personally identifiable information” or “personal information” under any Privacy and Data Security Requirement or (b) any information that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Personal Data that has been pseudonymized shall also be considered Personal Data to the extent treated as such under any Privacy and Data Security Requirement.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Plan</w:t>
      </w:r>
      <w:r>
        <w:rPr>
          <w:caps w:val="false"/>
          <w:smallCaps w:val="false"/>
        </w:rPr>
        <w:t xml:space="preserve">” </w:t>
      </w:r>
      <w:r>
        <w:rPr>
          <w:rFonts w:ascii="Times New Roman PS Std;serif" w:hAnsi="Times New Roman PS Std;serif"/>
          <w:b w:val="false"/>
          <w:i w:val="false"/>
          <w:caps w:val="false"/>
          <w:smallCaps w:val="false"/>
          <w:sz w:val="20"/>
        </w:rPr>
        <w:t>means (a) each “employee benefit plan” as that term is defined in Section 3(3) of ERISA (whether or not subject to ERISA) and (b) each other employment, independent contractor, consulting, pension, retirement, supplemental retirement, profit sharing, deferred compensation, stock option, change in control, retention, equity or equity-based compensation, stock purchase, employee stock ownership, severance, vacation, bonus, incentive, disability, medical, vision, dental, health, life insurance, perquisite, fringe benefit or other compensation or benefit plan, program, agreement, arrangement, policy, trust, fund or Contract, whether written or unwritten.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Privacy and Data Security Requirements</w:t>
      </w:r>
      <w:r>
        <w:rPr>
          <w:caps w:val="false"/>
          <w:smallCaps w:val="false"/>
        </w:rPr>
        <w:t xml:space="preserve">” </w:t>
      </w:r>
      <w:r>
        <w:rPr>
          <w:rFonts w:ascii="Times New Roman PS Std;serif" w:hAnsi="Times New Roman PS Std;serif"/>
          <w:b w:val="false"/>
          <w:i w:val="false"/>
          <w:caps w:val="false"/>
          <w:smallCaps w:val="false"/>
          <w:sz w:val="20"/>
        </w:rPr>
        <w:t>means (a) any Laws regulating the collecting, accessing, using, disclosing, transmitting, transferring, securing, sharing, storing, maintaining, retaining, deleting, disposing, modifying, protecting, privacy of, breach of or processing (collectively, “</w:t>
      </w:r>
      <w:r>
        <w:rPr>
          <w:rFonts w:ascii="Times New Roman PS Std;serif" w:hAnsi="Times New Roman PS Std;serif"/>
          <w:b w:val="false"/>
          <w:i w:val="false"/>
          <w:caps w:val="false"/>
          <w:smallCaps w:val="false"/>
          <w:sz w:val="20"/>
          <w:u w:val="single"/>
        </w:rPr>
        <w:t>Processing</w:t>
      </w:r>
      <w:r>
        <w:rPr>
          <w:caps w:val="false"/>
          <w:smallCaps w:val="false"/>
        </w:rPr>
        <w:t>”</w:t>
      </w:r>
      <w:r>
        <w:rPr>
          <w:rFonts w:ascii="Times New Roman PS Std;serif" w:hAnsi="Times New Roman PS Std;serif"/>
          <w:b w:val="false"/>
          <w:i w:val="false"/>
          <w:caps w:val="false"/>
          <w:smallCaps w:val="false"/>
          <w:sz w:val="20"/>
        </w:rPr>
        <w:t>) of Personal Data; (b) obligations under all contracts to which AIR or any of its Subsidiaries is a party or is otherwise bound that relate to Personal Data; and (c) all of AIR’s and its Subsidiaries’ internal and publicly posted policies and representations regarding the collection, access, use, disclosure, transmission, transfer, storage, maintenance, retention, deletion, disposal, modification, protection or Processing of Personal Data.</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Public Software</w:t>
      </w:r>
      <w:r>
        <w:rPr>
          <w:caps w:val="false"/>
          <w:smallCaps w:val="false"/>
        </w:rPr>
        <w:t xml:space="preserve">” </w:t>
      </w:r>
      <w:r>
        <w:rPr>
          <w:rFonts w:ascii="Times New Roman PS Std;serif" w:hAnsi="Times New Roman PS Std;serif"/>
          <w:b w:val="false"/>
          <w:i w:val="false"/>
          <w:caps w:val="false"/>
          <w:smallCaps w:val="false"/>
          <w:sz w:val="20"/>
        </w:rPr>
        <w:t>means (a) any Software used under a license identified as an open source license by the Open Source Initiative (www.opensource.org) and (b) any other Software that is distributed as freeware or under similar licensing or distribution models.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Redemption Rights Agreement</w:t>
      </w:r>
      <w:r>
        <w:rPr>
          <w:caps w:val="false"/>
          <w:smallCaps w:val="false"/>
        </w:rPr>
        <w:t xml:space="preserve">” </w:t>
      </w:r>
      <w:r>
        <w:rPr>
          <w:rFonts w:ascii="Times New Roman PS Std;serif" w:hAnsi="Times New Roman PS Std;serif"/>
          <w:b w:val="false"/>
          <w:i w:val="false"/>
          <w:caps w:val="false"/>
          <w:smallCaps w:val="false"/>
          <w:sz w:val="20"/>
        </w:rPr>
        <w:t>means a redemption rights agreement between AIR and the Rights Agent in the form attached hereto as Exhibit F.</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Registered AIR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included in AIR Owned IP that is the subject of an application, certificate, filing, registration or other document issued, filed with or recorded by any Governmental Authority or internet domain name registrar.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Registered Tenax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included in Tenax Owned IP that is the subject of an application, certificate, filing, registration or other document issued, filed with or recorded by any Governmental Authority or internet domain name registrar.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Registration Rights Agreement</w:t>
      </w:r>
      <w:r>
        <w:rPr>
          <w:caps w:val="false"/>
          <w:smallCaps w:val="false"/>
        </w:rPr>
        <w:t xml:space="preserve">” </w:t>
      </w:r>
      <w:r>
        <w:rPr>
          <w:rFonts w:ascii="Times New Roman PS Std;serif" w:hAnsi="Times New Roman PS Std;serif"/>
          <w:b w:val="false"/>
          <w:i w:val="false"/>
          <w:caps w:val="false"/>
          <w:smallCaps w:val="false"/>
          <w:sz w:val="20"/>
        </w:rPr>
        <w:t>means a registration rights agreement among AIR and the Tenax Members in the form attached hereto as Exhibit 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a Person’s officers, directors, employees, accountants, consultants, legal counsel, investment bankers, advisors, agents and other representatives.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Required Tenax Member Approval</w:t>
      </w:r>
      <w:r>
        <w:rPr>
          <w:caps w:val="false"/>
          <w:smallCaps w:val="false"/>
        </w:rPr>
        <w:t xml:space="preserve">” </w:t>
      </w:r>
      <w:r>
        <w:rPr>
          <w:rFonts w:ascii="Times New Roman PS Std;serif" w:hAnsi="Times New Roman PS Std;serif"/>
          <w:b w:val="false"/>
          <w:i w:val="false"/>
          <w:caps w:val="false"/>
          <w:smallCaps w:val="false"/>
          <w:sz w:val="20"/>
        </w:rPr>
        <w:t>means the affirmative vote (at a meeting or by written consent) of holders of not less than a majority in voting power of the issued and outstanding Tenax Units.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Subsidiaries</w:t>
      </w:r>
      <w:r>
        <w:rPr>
          <w:caps w:val="false"/>
          <w:smallCaps w:val="false"/>
        </w:rPr>
        <w:t xml:space="preserve">” </w:t>
      </w:r>
      <w:r>
        <w:rPr>
          <w:rFonts w:ascii="Times New Roman PS Std;serif" w:hAnsi="Times New Roman PS Std;serif"/>
          <w:b w:val="false"/>
          <w:i w:val="false"/>
          <w:caps w:val="false"/>
          <w:smallCaps w:val="false"/>
          <w:sz w:val="20"/>
        </w:rPr>
        <w:t>of any specified Person means an Affiliate controlled by such Person, directly or indirectly, through one or more intermediaries.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Superior Proposal</w:t>
      </w:r>
      <w:r>
        <w:rPr>
          <w:caps w:val="false"/>
          <w:smallCaps w:val="false"/>
        </w:rPr>
        <w:t xml:space="preserve">” </w:t>
      </w:r>
      <w:r>
        <w:rPr>
          <w:rFonts w:ascii="Times New Roman PS Std;serif" w:hAnsi="Times New Roman PS Std;serif"/>
          <w:b w:val="false"/>
          <w:i w:val="false"/>
          <w:caps w:val="false"/>
          <w:smallCaps w:val="false"/>
          <w:sz w:val="20"/>
        </w:rPr>
        <w:t>means an unsolicited written bona fide offer made by a third party with respect to a Competing AIR Proposal (other than pursuant to clause (e) of such definition) which the AIR Board reasonably determines, in its good-faith judgment, after having received the advice of a financial advisor of nationally recognized reputation and outside legal counsel, to be (a) more favorable to the stockholders of AIR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this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election, claim for refund or information return or other statement or form filed or required to be filed with any Governmental Authority relating to Taxes, including any schedule or attachment thereto, and including any amendment thereof.</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 Sharing Agreement</w:t>
      </w:r>
      <w:r>
        <w:rPr>
          <w:caps w:val="false"/>
          <w:smallCaps w:val="false"/>
        </w:rPr>
        <w:t xml:space="preserve">” </w:t>
      </w:r>
      <w:r>
        <w:rPr>
          <w:rFonts w:ascii="Times New Roman PS Std;serif" w:hAnsi="Times New Roman PS Std;serif"/>
          <w:b w:val="false"/>
          <w:i w:val="false"/>
          <w:caps w:val="false"/>
          <w:smallCaps w:val="false"/>
          <w:sz w:val="20"/>
        </w:rPr>
        <w:t>means all existing agreements or arrangements (whether or not written) binding a party to this Agreement or any of its Subsidiaries that provide for the allocation, apportionment, sharing or assignment of any Tax liability or benefit, or the transfer or assignment of income, revenues, receipts or gains for the purpose of determining any Person’s Tax liability (excluding any agreements or arrangements the principal subject matter of which is not Taxes).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Taxes</w:t>
      </w:r>
      <w:r>
        <w:rPr>
          <w:caps w:val="false"/>
          <w:smallCaps w:val="false"/>
        </w:rPr>
        <w:t xml:space="preserve">” </w:t>
      </w:r>
      <w:r>
        <w:rPr>
          <w:rFonts w:ascii="Times New Roman PS Std;serif" w:hAnsi="Times New Roman PS Std;serif"/>
          <w:b w:val="false"/>
          <w:i w:val="false"/>
          <w:caps w:val="false"/>
          <w:smallCaps w:val="false"/>
          <w:sz w:val="20"/>
        </w:rPr>
        <w:t>means all taxes or similar duties, fees or charges or assessments thereof imposed by any Governmental Authority, in each case in the nature of a tax, including any interest, penalties and additions imposed with respect to such amount.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Benefit Plan</w:t>
      </w:r>
      <w:r>
        <w:rPr>
          <w:caps w:val="false"/>
          <w:smallCaps w:val="false"/>
        </w:rPr>
        <w:t xml:space="preserve">” </w:t>
      </w:r>
      <w:r>
        <w:rPr>
          <w:rFonts w:ascii="Times New Roman PS Std;serif" w:hAnsi="Times New Roman PS Std;serif"/>
          <w:b w:val="false"/>
          <w:i w:val="false"/>
          <w:caps w:val="false"/>
          <w:smallCaps w:val="false"/>
          <w:sz w:val="20"/>
        </w:rPr>
        <w:t>means every Plan sponsored, maintained or contributed to, or required to be sponsored, maintained or contributed to, by Tenax or any of its Subsidiaries or any of its ERISA Affiliates, to which Tenax or any of its Subsidiaries or any of its ERISA Affiliates is a party, or with respect to which Tenax or any of its Subsidiaries or any of its ERISA Affiliates may have any obligation or liability, whether actual or contingent.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Board</w:t>
      </w:r>
      <w:r>
        <w:rPr>
          <w:caps w:val="false"/>
          <w:smallCaps w:val="false"/>
        </w:rPr>
        <w:t xml:space="preserve">” </w:t>
      </w:r>
      <w:r>
        <w:rPr>
          <w:rFonts w:ascii="Times New Roman PS Std;serif" w:hAnsi="Times New Roman PS Std;serif"/>
          <w:b w:val="false"/>
          <w:i w:val="false"/>
          <w:caps w:val="false"/>
          <w:smallCaps w:val="false"/>
          <w:sz w:val="20"/>
        </w:rPr>
        <w:t>means the Board of Managers of Tenax.</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Disclosure Letter</w:t>
      </w:r>
      <w:r>
        <w:rPr>
          <w:caps w:val="false"/>
          <w:smallCaps w:val="false"/>
        </w:rPr>
        <w:t xml:space="preserve">” </w:t>
      </w:r>
      <w:r>
        <w:rPr>
          <w:rFonts w:ascii="Times New Roman PS Std;serif" w:hAnsi="Times New Roman PS Std;serif"/>
          <w:b w:val="false"/>
          <w:i w:val="false"/>
          <w:caps w:val="false"/>
          <w:smallCaps w:val="false"/>
          <w:sz w:val="20"/>
        </w:rPr>
        <w:t>means the disclosure letter dated as of the Original Execution Date and delivered by Tenax to AIR and Merger Sub simultaneously with the signing of the Original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Government Bid</w:t>
      </w:r>
      <w:r>
        <w:rPr>
          <w:caps w:val="false"/>
          <w:smallCaps w:val="false"/>
        </w:rPr>
        <w:t xml:space="preserve">” </w:t>
      </w:r>
      <w:r>
        <w:rPr>
          <w:rFonts w:ascii="Times New Roman PS Std;serif" w:hAnsi="Times New Roman PS Std;serif"/>
          <w:b w:val="false"/>
          <w:i w:val="false"/>
          <w:caps w:val="false"/>
          <w:smallCaps w:val="false"/>
          <w:sz w:val="20"/>
        </w:rPr>
        <w:t>means any pending bid, proposal, offer or quote for supplies or services made by Tenax or any of its Subsidiaries that if accepted, would result in a Tenax Government Contract.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Government Contract</w:t>
      </w:r>
      <w:r>
        <w:rPr>
          <w:caps w:val="false"/>
          <w:smallCaps w:val="false"/>
        </w:rPr>
        <w:t xml:space="preserve">” </w:t>
      </w:r>
      <w:r>
        <w:rPr>
          <w:rFonts w:ascii="Times New Roman PS Std;serif" w:hAnsi="Times New Roman PS Std;serif"/>
          <w:b w:val="false"/>
          <w:i w:val="false"/>
          <w:caps w:val="false"/>
          <w:smallCaps w:val="false"/>
          <w:sz w:val="20"/>
        </w:rPr>
        <w:t xml:space="preserve">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Tenax or any of its Subsidiaries by any Governmental Authority or by a prime contractor or higher-tier subcontractor (or proposed prime contractor or higher-tier subcontractor)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or in relation to such Contracts or (b) by Tenax or any of its Subsidiaries under or in relation to such contracts to a subcontractor (or proposed subcontractor) at any tier. For the avoidance of doubt, a task order, purchase order or delivery order under a Tenax Government Contract shall not constitute a separate Tenax Government Contract for purposes of this definition, but shall be a part of the Tenax Government Contract to which it relates.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IP</w:t>
      </w:r>
      <w:r>
        <w:rPr>
          <w:caps w:val="false"/>
          <w:smallCaps w:val="false"/>
        </w:rPr>
        <w:t xml:space="preserve">” </w:t>
      </w:r>
      <w:r>
        <w:rPr>
          <w:rFonts w:ascii="Times New Roman PS Std;serif" w:hAnsi="Times New Roman PS Std;serif"/>
          <w:b w:val="false"/>
          <w:i w:val="false"/>
          <w:caps w:val="false"/>
          <w:smallCaps w:val="false"/>
          <w:sz w:val="20"/>
        </w:rPr>
        <w:t>means all Tenax Owned IP together with all Intellectual Property licensed by Tenax or any of its Subsidiaries and used, held for use or planned for use in Tenax’s business.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IP Agreements</w:t>
      </w:r>
      <w:r>
        <w:rPr>
          <w:caps w:val="false"/>
          <w:smallCaps w:val="false"/>
        </w:rPr>
        <w:t xml:space="preserve">” </w:t>
      </w:r>
      <w:r>
        <w:rPr>
          <w:rFonts w:ascii="Times New Roman PS Std;serif" w:hAnsi="Times New Roman PS Std;serif"/>
          <w:b w:val="false"/>
          <w:i w:val="false"/>
          <w:caps w:val="false"/>
          <w:smallCaps w:val="false"/>
          <w:sz w:val="20"/>
        </w:rPr>
        <w:t>means any contract: (i) pursuant to which any third-party Intellectual Property is licensed or provided to Tenax or any of its Subsidiaries, other than (a) confidentiality and non-disclosure agreements entered into in the ordinary course of business, (b) non-exclusive licenses for generally commercially available, off-the-shelf non-customized Software under standard, non-negotiated terms for a one-time or annual aggregate fee of less than $500,000,</w:t>
      </w:r>
      <w:r>
        <w:rPr>
          <w:caps w:val="false"/>
          <w:smallCaps w:val="false"/>
        </w:rPr>
        <w:t xml:space="preserve"> </w:t>
      </w:r>
      <w:r>
        <w:rPr>
          <w:rFonts w:ascii="Times New Roman PS Std;serif" w:hAnsi="Times New Roman PS Std;serif"/>
          <w:b w:val="false"/>
          <w:i w:val="false"/>
          <w:caps w:val="false"/>
          <w:smallCaps w:val="false"/>
          <w:sz w:val="20"/>
        </w:rPr>
        <w:t>(c) licenses to Public Software, (d) non-exclusive licenses granted to Tenax or any of its Subsidiaries in the ordinary course of business and (e) contracts in which the license or grant of rights to use Intellectual Property is ancillary or incidental to the transaction contemplated by such contract; (ii) pursuant to which Tenax or any of its Subsidiaries has granted to any person any right or interest in any material Tenax IP, including any right to use, or any option to acquire title to, any item of material Tenax IP, other than (a) confidentiality and non-disclosure agreements entered into in the ordinary course of business, (b) non-exclusive licenses granted in the ordinary course of business and (c) contracts in which the license or grant of rights to use Intellectual Property is non-exclusive and merely ancillary or incidental to the transaction contemplated by such contract; or (iii) to which Tenax or any of its Subsidiaries is a party containing any covenant not to sue, concurrent use agreement, settlement agreement, co-existence agreement or other consent, in each case, with respect to any Intellectual Property.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IT Assets</w:t>
      </w:r>
      <w:r>
        <w:rPr>
          <w:caps w:val="false"/>
          <w:smallCaps w:val="false"/>
        </w:rPr>
        <w:t xml:space="preserve">” </w:t>
      </w:r>
      <w:r>
        <w:rPr>
          <w:rFonts w:ascii="Times New Roman PS Std;serif" w:hAnsi="Times New Roman PS Std;serif"/>
          <w:b w:val="false"/>
          <w:i w:val="false"/>
          <w:caps w:val="false"/>
          <w:smallCaps w:val="false"/>
          <w:sz w:val="20"/>
        </w:rPr>
        <w:t>means all IT Assets owned, licensed, leased or used or held for use by Tenax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Leased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leased, subleased, licensed or otherwise occupied by Tenax or any of its Subsidiaries, as tenant, subtenant, licensee or occupant.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Tenax and its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any event, occurrence, state of facts, development, circumstance, change or effect to the extent resulting from the following shall not be taken into account in determining whether a Tenax Material Adverse Effect has occurred: (i) any change in the market price, trading volume or credit ratings of Tenax equity interests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facts or causes underlying or contributing to such change or failure shall be considered in determining whether a Tenax Material Adverse Effect has occurred); (ii) changes in general economic, legal, regulatory or political conditions, or in the financial, credit or capital markets in general; (iii) changes in applicable Law or GAAP or in any interpretation thereof; (iv) changes in the markets or industries in which Tenax and its Subsidiaries operate (including legal and regulatory changes); (v) acts of civil unrest or war (whether or not declared), armed hostilities or terrorism or any escalation or worsening of any acts of civil unrest or war (whether or not declared), armed hostilities or terrorism under way as of the date of this Agreement; (vi) earthquakes, hurricanes, tsunamis, tornadoes, floods, mudslides, volcanic eruptions or other natural disasters or any epidemic or pandemic; (vii) any changes resulting or arising from the identity of AIR or any of its Affiliates; or (viii) the public announcement, pendency or performance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each of clauses (ii) through (vi), Tenax and its Subsidiaries, taken as a whole, are not affected disproportionately relative to other participants in the industries in which they operate; or (b) would reasonably be expected to prevent or materially impede, materially interfere with, materially hinder or materially delay the consummation of the Transactions by Tenax or otherwise prevent Tenax from performing its obligations under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Nominee</w:t>
      </w:r>
      <w:r>
        <w:rPr>
          <w:caps w:val="false"/>
          <w:smallCaps w:val="false"/>
        </w:rPr>
        <w:t xml:space="preserve">” </w:t>
      </w:r>
      <w:r>
        <w:rPr>
          <w:rFonts w:ascii="Times New Roman PS Std;serif" w:hAnsi="Times New Roman PS Std;serif"/>
          <w:b w:val="false"/>
          <w:i w:val="false"/>
          <w:caps w:val="false"/>
          <w:smallCaps w:val="false"/>
          <w:sz w:val="20"/>
        </w:rPr>
        <w:t>means NTC Equity Holdings,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Owned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owned or exclusively licensed by Tenax or any of its Subsidiaries (whether solely or jointly with one or more other Persons) as of the Original Execution Date.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Permits</w:t>
      </w:r>
      <w:r>
        <w:rPr>
          <w:caps w:val="false"/>
          <w:smallCaps w:val="false"/>
        </w:rPr>
        <w:t xml:space="preserve">” </w:t>
      </w:r>
      <w:r>
        <w:rPr>
          <w:rFonts w:ascii="Times New Roman PS Std;serif" w:hAnsi="Times New Roman PS Std;serif"/>
          <w:b w:val="false"/>
          <w:i w:val="false"/>
          <w:caps w:val="false"/>
          <w:smallCaps w:val="false"/>
          <w:sz w:val="20"/>
        </w:rPr>
        <w:t>means franchises, grants, authorizations, licenses, permits, easements, variances, exceptions, consents, concessions, registrations, clearances, exemptions, certificates, filings, notices, approvals and orders of any Governmental Authority necessary for Tenax and each of its Subsidiaries to own, lease and operate their respective properties and assets or to carry on their respective businesses as they are now being conducted.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Real Property Leases</w:t>
      </w:r>
      <w:r>
        <w:rPr>
          <w:caps w:val="false"/>
          <w:smallCaps w:val="false"/>
        </w:rPr>
        <w:t xml:space="preserve">” </w:t>
      </w:r>
      <w:r>
        <w:rPr>
          <w:rFonts w:ascii="Times New Roman PS Std;serif" w:hAnsi="Times New Roman PS Std;serif"/>
          <w:b w:val="false"/>
          <w:i w:val="false"/>
          <w:caps w:val="false"/>
          <w:smallCaps w:val="false"/>
          <w:sz w:val="20"/>
        </w:rPr>
        <w:t>means all leases, subleases, licenses, occupancy agreements and other agreements under which Tenax or any of its Subsidiaries uses or occupies or has the right to use or occupy any real property (including all guaranties and assignments thereof and all modifications, amendments, supplements and side letters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Service Provider</w:t>
      </w:r>
      <w:r>
        <w:rPr>
          <w:caps w:val="false"/>
          <w:smallCaps w:val="false"/>
        </w:rPr>
        <w:t xml:space="preserve">” </w:t>
      </w:r>
      <w:r>
        <w:rPr>
          <w:rFonts w:ascii="Times New Roman PS Std;serif" w:hAnsi="Times New Roman PS Std;serif"/>
          <w:b w:val="false"/>
          <w:i w:val="false"/>
          <w:caps w:val="false"/>
          <w:smallCaps w:val="false"/>
          <w:sz w:val="20"/>
        </w:rPr>
        <w:t>means each of the directors, officers, employees and independent contractors of Tenax and each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Warrantholders</w:t>
      </w:r>
      <w:r>
        <w:rPr>
          <w:caps w:val="false"/>
          <w:smallCaps w:val="false"/>
        </w:rPr>
        <w:t xml:space="preserve">” </w:t>
      </w:r>
      <w:r>
        <w:rPr>
          <w:rFonts w:ascii="Times New Roman PS Std;serif" w:hAnsi="Times New Roman PS Std;serif"/>
          <w:b w:val="false"/>
          <w:i w:val="false"/>
          <w:caps w:val="false"/>
          <w:smallCaps w:val="false"/>
          <w:sz w:val="20"/>
        </w:rPr>
        <w:t xml:space="preserve">means AEAMF Aero Funding LLC, ACSF Aero Funding LLC, MMPDFII Aero Blocker, LLC and MetLife Middle Market Private Debt Fund II, LP;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 Tenax Warrantholder shall become a Tenax Member to the extent it exercises its Warrant prior to the Closing.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means a day on which shares of AIR Common Stock are traded on the NYSE American.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Transaction Documents</w:t>
      </w:r>
      <w:r>
        <w:rPr>
          <w:caps w:val="false"/>
          <w:smallCaps w:val="false"/>
        </w:rPr>
        <w:t xml:space="preserve">” </w:t>
      </w:r>
      <w:r>
        <w:rPr>
          <w:rFonts w:ascii="Times New Roman PS Std;serif" w:hAnsi="Times New Roman PS Std;serif"/>
          <w:b w:val="false"/>
          <w:i w:val="false"/>
          <w:caps w:val="false"/>
          <w:smallCaps w:val="false"/>
          <w:sz w:val="20"/>
        </w:rPr>
        <w:t>means, collectively, this Agreement, the AIR Stockholder Support Agreement, the Tenax Member Support Agreements, the Tenax Member Lock-Up Agreements, the Redemption Rights Agreement, the Registration Rights Agreement, the Certificate of Merger and all other Contracts delivered or required to be delivered by any party hereto at or prior to the Closing pursuant to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Transactions</w:t>
      </w:r>
      <w:r>
        <w:rPr>
          <w:caps w:val="false"/>
          <w:smallCaps w:val="false"/>
        </w:rPr>
        <w:t xml:space="preserve">” </w:t>
      </w:r>
      <w:r>
        <w:rPr>
          <w:rFonts w:ascii="Times New Roman PS Std;serif" w:hAnsi="Times New Roman PS Std;serif"/>
          <w:b w:val="false"/>
          <w:i w:val="false"/>
          <w:caps w:val="false"/>
          <w:smallCaps w:val="false"/>
          <w:sz w:val="20"/>
        </w:rPr>
        <w:t>means the transactions contemplated by the Transaction Documents, including the Merger.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Warrants</w:t>
      </w:r>
      <w:r>
        <w:rPr>
          <w:caps w:val="false"/>
          <w:smallCaps w:val="false"/>
        </w:rPr>
        <w:t xml:space="preserve">” </w:t>
      </w:r>
      <w:r>
        <w:rPr>
          <w:rFonts w:ascii="Times New Roman PS Std;serif" w:hAnsi="Times New Roman PS Std;serif"/>
          <w:b w:val="false"/>
          <w:i w:val="false"/>
          <w:caps w:val="false"/>
          <w:smallCaps w:val="false"/>
          <w:sz w:val="20"/>
        </w:rPr>
        <w:t>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Webster Loan</w:t>
      </w:r>
      <w:r>
        <w:rPr>
          <w:caps w:val="false"/>
          <w:smallCaps w:val="false"/>
        </w:rPr>
        <w:t xml:space="preserve">” </w:t>
      </w:r>
      <w:r>
        <w:rPr>
          <w:rFonts w:ascii="Times New Roman PS Std;serif" w:hAnsi="Times New Roman PS Std;serif"/>
          <w:b w:val="false"/>
          <w:i w:val="false"/>
          <w:caps w:val="false"/>
          <w:smallCaps w:val="false"/>
          <w:sz w:val="20"/>
        </w:rPr>
        <w:t>means the Loan and Security Agreement, dated as of December 31, 2019, by and among Air Industries Machining, Corp., a New York corporation, Nassau Tool Works, Inc., a New York corporation, and The Sterling Engineering Corporation, a Connecticut corporation, as borrowers, AIR and Air Realty Group, LLC, a Connecticut limited liability company, as guarantors and Webster Bank, National Association, as lender, as amended from time to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1.02        </w:t>
      </w:r>
      <w:r>
        <w:rPr>
          <w:rFonts w:ascii="Times New Roman PS Std;serif" w:hAnsi="Times New Roman PS Std;serif"/>
          <w:b w:val="false"/>
          <w:i w:val="false"/>
          <w:caps w:val="false"/>
          <w:smallCaps w:val="false"/>
          <w:sz w:val="20"/>
          <w:u w:val="single"/>
        </w:rPr>
        <w:t>Other Defined Terms</w:t>
      </w:r>
      <w:r>
        <w:rPr>
          <w:rFonts w:ascii="Times New Roman PS Std;serif" w:hAnsi="Times New Roman PS Std;serif"/>
          <w:b w:val="false"/>
          <w:i w:val="false"/>
          <w:caps w:val="false"/>
          <w:smallCaps w:val="false"/>
          <w:sz w:val="20"/>
        </w:rPr>
        <w:t>. The following terms have the meanings set forth in the Sections set forth below:</w:t>
      </w:r>
    </w:p>
    <w:tbl>
      <w:tblPr>
        <w:tblW w:w="5113" w:type="dxa"/>
        <w:jc w:val="left"/>
        <w:tblInd w:w="0" w:type="dxa"/>
        <w:tblLayout w:type="fixed"/>
        <w:tblCellMar>
          <w:top w:w="0" w:type="dxa"/>
          <w:left w:w="0" w:type="dxa"/>
          <w:bottom w:w="0" w:type="dxa"/>
          <w:right w:w="0" w:type="dxa"/>
        </w:tblCellMar>
      </w:tblPr>
      <w:tblGrid>
        <w:gridCol w:w="2566"/>
        <w:gridCol w:w="146"/>
        <w:gridCol w:w="2401"/>
      </w:tblGrid>
      <w:tr>
        <w:trPr/>
        <w:tc>
          <w:tcPr>
            <w:tcW w:w="2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Term</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 of Definition</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Certificate of Change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Charter Amendment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Financial Statements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4.06(b)</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Material Contracts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4.17(a)</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Recommendation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Related Parties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9.03(h)</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AIR Reverse Stock Split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SEC Reports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4.06(a)</w:t>
            </w:r>
          </w:p>
        </w:tc>
      </w:tr>
      <w:tr>
        <w:trPr/>
        <w:tc>
          <w:tcPr>
            <w:tcW w:w="25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 Issuance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403" w:type="dxa"/>
        <w:jc w:val="left"/>
        <w:tblInd w:w="0" w:type="dxa"/>
        <w:tblLayout w:type="fixed"/>
        <w:tblCellMar>
          <w:top w:w="0" w:type="dxa"/>
          <w:left w:w="0" w:type="dxa"/>
          <w:bottom w:w="0" w:type="dxa"/>
          <w:right w:w="0" w:type="dxa"/>
        </w:tblCellMar>
      </w:tblPr>
      <w:tblGrid>
        <w:gridCol w:w="3856"/>
        <w:gridCol w:w="146"/>
        <w:gridCol w:w="2401"/>
      </w:tblGrid>
      <w:tr>
        <w:trPr/>
        <w:tc>
          <w:tcPr>
            <w:tcW w:w="38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Term</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 of Definition</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 Support Agreement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Meeting</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Termination Fee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9.03(a)(iii)</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 Laws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Antitrust Laws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Merger</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the AIR Recommendation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7.02(d)</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Charter Amendment Effective Time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7.20</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Consenting Tenax Members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7.04(a)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Insurance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7.05(b)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Agreement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Export Control Laws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4.21(d)</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AIR SEC Reports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AIR Stockholders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Laundering Laws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Adverse Recommendation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7.02(d)</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Agreement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Execution Date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Pass-Through Tax Matter</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7.12(c)</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Pass-Through Tax Return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Amount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Debt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Statement/Prospectus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 Sponsor</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4.14(h)</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Price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Statement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Restraint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8.01(c)</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Agent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Person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4.21(c)</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4.21(c)</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Company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Closing Capitalization Schedule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Financial Statements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5.06(a)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Material Contracts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5.17(a)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Lock-Up Agreements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Support Agreements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Related Parties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9.03(h)</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Termination Fee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9.03(b)</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Units</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3.02(a)</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Warrantholder Allocation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3.01(a)(ii)</w:t>
            </w:r>
          </w:p>
        </w:tc>
      </w:tr>
      <w:tr>
        <w:trPr/>
        <w:tc>
          <w:tcPr>
            <w:tcW w:w="38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1.03        </w:t>
      </w:r>
      <w:r>
        <w:rPr>
          <w:rFonts w:ascii="Times New Roman PS Std;serif" w:hAnsi="Times New Roman PS Std;serif"/>
          <w:b w:val="false"/>
          <w:i w:val="false"/>
          <w:caps w:val="false"/>
          <w:smallCaps w:val="false"/>
          <w:sz w:val="20"/>
          <w:u w:val="single"/>
        </w:rPr>
        <w:t>Interpretation; Headings</w:t>
      </w:r>
      <w:r>
        <w:rPr>
          <w:rFonts w:ascii="Times New Roman PS Std;serif" w:hAnsi="Times New Roman PS Std;serif"/>
          <w:b w:val="false"/>
          <w:i w:val="false"/>
          <w:caps w:val="false"/>
          <w:smallCaps w:val="false"/>
          <w:sz w:val="20"/>
        </w:rPr>
        <w:t>.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The phrases “delivered”, “provided to”, “made available” and “furnished to” and phrases of similar import when used herein, unless the context otherwise requires, mean, with respect to any statement to the effect that any information, document or other material has been “delivered”, “provided to”, “made available to” or “furnished to” Tenax or AIR, as applicable, that such information, document or material was made available for review in an unredacted form by Tenax or AIR, as applicable, or any of its Representatives no later than 5:00 p.m., New York City time, on the Original Execution Date in the virtual data room established by AIR or Tenax, as applicable, in connection with this Agreement.</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2.01        </w:t>
      </w:r>
      <w:r>
        <w:rPr>
          <w:rFonts w:ascii="Times New Roman PS Std;serif" w:hAnsi="Times New Roman PS Std;serif"/>
          <w:b w:val="false"/>
          <w:i w:val="false"/>
          <w:caps w:val="false"/>
          <w:smallCaps w:val="false"/>
          <w:sz w:val="20"/>
          <w:u w:val="single"/>
        </w:rPr>
        <w:t>The Merger</w:t>
      </w:r>
      <w:r>
        <w:rPr>
          <w:rFonts w:ascii="Times New Roman PS Std;serif" w:hAnsi="Times New Roman PS Std;serif"/>
          <w:b w:val="false"/>
          <w:i w:val="false"/>
          <w:caps w:val="false"/>
          <w:smallCaps w:val="false"/>
          <w:sz w:val="20"/>
        </w:rPr>
        <w:t xml:space="preserve">. Upon the terms and subject to the satisfaction or written waiver (where permissible) of the conditions set forth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and in accordance with the applicable provisions of the DLLCA and this Agreement, at the Effective Time, Merger Sub shall be merged with and into Tenax. As a result of the Merger, the separate corporate existence of Merger Sub shall cease and Tenax shall continue as the surviving limited liability company in the Merger (the “</w:t>
      </w:r>
      <w:r>
        <w:rPr>
          <w:rFonts w:ascii="Times New Roman PS Std;serif" w:hAnsi="Times New Roman PS Std;serif"/>
          <w:b w:val="false"/>
          <w:i w:val="false"/>
          <w:caps w:val="false"/>
          <w:smallCaps w:val="false"/>
          <w:sz w:val="20"/>
          <w:u w:val="single"/>
        </w:rPr>
        <w:t>Surviving Company</w:t>
      </w:r>
      <w:r>
        <w:rPr>
          <w:caps w:val="false"/>
          <w:smallCaps w:val="false"/>
        </w:rPr>
        <w:t>”</w:t>
      </w:r>
      <w:r>
        <w:rPr>
          <w:rFonts w:ascii="Times New Roman PS Std;serif" w:hAnsi="Times New Roman PS Std;serif"/>
          <w:b w:val="false"/>
          <w:i w:val="false"/>
          <w:caps w:val="false"/>
          <w:smallCaps w:val="false"/>
          <w:sz w:val="20"/>
        </w:rPr>
        <w:t>) and, following the Merger, Tenax shall be a wholly owned Subsidiary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2.02        </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 The closing of the Transactions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on the third Business Day after the satisfaction or written waiver (where permissible) of the conditions set forth in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terms are to be satisfied at the Closing, but subject to the satisfaction or written waiver (where permissible) of those conditions at the Closing), unless another date is agreed to in writing by Tenax and AIR. The Closing shall be held at the offices of Cravath, Swaine &amp; Moore LLP, Two Manhattan West, 375 Ninth Avenue, New York, New York 10001, or such other place as the parties shall agree.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2.03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 Subject to the terms and conditions of this Agreement, as soon as practicable on the Closing Date, (a) Tenax will cause a certificate of merger (the “</w:t>
      </w:r>
      <w:r>
        <w:rPr>
          <w:rFonts w:ascii="Times New Roman PS Std;serif" w:hAnsi="Times New Roman PS Std;serif"/>
          <w:b w:val="false"/>
          <w:i w:val="false"/>
          <w:caps w:val="false"/>
          <w:smallCaps w:val="false"/>
          <w:sz w:val="20"/>
          <w:u w:val="single"/>
        </w:rPr>
        <w:t>Certificate of Merger</w:t>
      </w:r>
      <w:r>
        <w:rPr>
          <w:caps w:val="false"/>
          <w:smallCaps w:val="false"/>
        </w:rPr>
        <w:t>”</w:t>
      </w:r>
      <w:r>
        <w:rPr>
          <w:rFonts w:ascii="Times New Roman PS Std;serif" w:hAnsi="Times New Roman PS Std;serif"/>
          <w:b w:val="false"/>
          <w:i w:val="false"/>
          <w:caps w:val="false"/>
          <w:smallCaps w:val="false"/>
          <w:sz w:val="20"/>
        </w:rPr>
        <w:t>) to be filed with the Secretary of State of the State of Delaware in such form as is required by, and executed in accordance with, the relevant provisions of the DLLCA (the date and time of the filing of the Certificate of Merger with the Secretary of State of the State of Delaware, or such later date and time as is specified in the Certificate of Merger and as is agreed to by AIR and Tenax in writing, being the “</w:t>
      </w:r>
      <w:r>
        <w:rPr>
          <w:rFonts w:ascii="Times New Roman PS Std;serif" w:hAnsi="Times New Roman PS Std;serif"/>
          <w:b w:val="false"/>
          <w:i w:val="false"/>
          <w:caps w:val="false"/>
          <w:smallCaps w:val="false"/>
          <w:sz w:val="20"/>
          <w:u w:val="single"/>
        </w:rPr>
        <w:t>Effective Time</w:t>
      </w:r>
      <w:r>
        <w:rPr>
          <w:caps w:val="false"/>
          <w:smallCaps w:val="false"/>
        </w:rPr>
        <w:t xml:space="preserve">” </w:t>
      </w:r>
      <w:r>
        <w:rPr>
          <w:rFonts w:ascii="Times New Roman PS Std;serif" w:hAnsi="Times New Roman PS Std;serif"/>
          <w:b w:val="false"/>
          <w:i w:val="false"/>
          <w:caps w:val="false"/>
          <w:smallCaps w:val="false"/>
          <w:sz w:val="20"/>
        </w:rPr>
        <w:t>and (b) each of AIR, Merger Sub and Tenax shall make all other filings or recordings required under the NRS or the DLLCA (if 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2.04        </w:t>
      </w:r>
      <w:r>
        <w:rPr>
          <w:rFonts w:ascii="Times New Roman PS Std;serif" w:hAnsi="Times New Roman PS Std;serif"/>
          <w:b w:val="false"/>
          <w:i w:val="false"/>
          <w:caps w:val="false"/>
          <w:smallCaps w:val="false"/>
          <w:sz w:val="20"/>
          <w:u w:val="single"/>
        </w:rPr>
        <w:t>Effect of the Merger</w:t>
      </w:r>
      <w:r>
        <w:rPr>
          <w:rFonts w:ascii="Times New Roman PS Std;serif" w:hAnsi="Times New Roman PS Std;serif"/>
          <w:b w:val="false"/>
          <w:i w:val="false"/>
          <w:caps w:val="false"/>
          <w:smallCaps w:val="false"/>
          <w:sz w:val="20"/>
        </w:rPr>
        <w:t>. At the Effective Time, the effect of the Merger shall be as provided in this Agreement and in the applicable provisions of the DLLCA.</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2.05        </w:t>
      </w:r>
      <w:r>
        <w:rPr>
          <w:rFonts w:ascii="Times New Roman PS Std;serif" w:hAnsi="Times New Roman PS Std;serif"/>
          <w:b w:val="false"/>
          <w:i w:val="false"/>
          <w:caps w:val="false"/>
          <w:smallCaps w:val="false"/>
          <w:sz w:val="20"/>
          <w:u w:val="single"/>
        </w:rPr>
        <w:t>Organizational Documents</w:t>
      </w:r>
      <w:r>
        <w:rPr>
          <w:rFonts w:ascii="Times New Roman PS Std;serif" w:hAnsi="Times New Roman PS Std;serif"/>
          <w:b w:val="false"/>
          <w:i w:val="false"/>
          <w:caps w:val="false"/>
          <w:smallCaps w:val="false"/>
          <w:sz w:val="20"/>
        </w:rPr>
        <w:t xml:space="preserve">. (a) At the Effective Time, (i) the certificate of formation of the Surviving Company shall be the certificate of formation of Tenax as of immediately prior to the Effective Time and (ii) the limited liability company agreement in the form set forth in </w:t>
      </w:r>
      <w:r>
        <w:rPr>
          <w:rFonts w:ascii="Times New Roman PS Std;serif" w:hAnsi="Times New Roman PS Std;serif"/>
          <w:b w:val="false"/>
          <w:i w:val="false"/>
          <w:caps w:val="false"/>
          <w:smallCaps w:val="false"/>
          <w:sz w:val="20"/>
          <w:u w:val="single"/>
        </w:rPr>
        <w:t>Exhibit D</w:t>
      </w:r>
      <w:r>
        <w:rPr>
          <w:caps w:val="false"/>
          <w:smallCaps w:val="false"/>
        </w:rPr>
        <w:t xml:space="preserve"> </w:t>
      </w:r>
      <w:r>
        <w:rPr>
          <w:rFonts w:ascii="Times New Roman PS Std;serif" w:hAnsi="Times New Roman PS Std;serif"/>
          <w:b w:val="false"/>
          <w:i w:val="false"/>
          <w:caps w:val="false"/>
          <w:smallCaps w:val="false"/>
          <w:sz w:val="20"/>
        </w:rPr>
        <w:t xml:space="preserve">to this Agreement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be the limited liability company agreement of the Surviving Company, in each case until thereafter amended in accordance with applicable Law; (b) at the Charter Amendment Effective Time, the articles of incorporation of AIR shall be amended pursuant to an amendment in the form attached as </w:t>
      </w:r>
      <w:r>
        <w:rPr>
          <w:rFonts w:ascii="Times New Roman PS Std;serif" w:hAnsi="Times New Roman PS Std;serif"/>
          <w:b w:val="false"/>
          <w:i w:val="false"/>
          <w:caps w:val="false"/>
          <w:smallCaps w:val="false"/>
          <w:sz w:val="20"/>
          <w:u w:val="single"/>
        </w:rPr>
        <w:t>Exhibit E</w:t>
      </w:r>
      <w:r>
        <w:rPr>
          <w:caps w:val="false"/>
          <w:smallCaps w:val="false"/>
        </w:rPr>
        <w:t xml:space="preserve"> </w:t>
      </w:r>
      <w:r>
        <w:rPr>
          <w:rFonts w:ascii="Times New Roman PS Std;serif" w:hAnsi="Times New Roman PS Std;serif"/>
          <w:b w:val="false"/>
          <w:i w:val="false"/>
          <w:caps w:val="false"/>
          <w:smallCaps w:val="false"/>
          <w:sz w:val="20"/>
        </w:rPr>
        <w:t>to this Agreement (the “</w:t>
      </w:r>
      <w:r>
        <w:rPr>
          <w:rFonts w:ascii="Times New Roman PS Std;serif" w:hAnsi="Times New Roman PS Std;serif"/>
          <w:b w:val="false"/>
          <w:i w:val="false"/>
          <w:caps w:val="false"/>
          <w:smallCaps w:val="false"/>
          <w:sz w:val="20"/>
          <w:u w:val="single"/>
        </w:rPr>
        <w:t>AIR Charter Amendment</w:t>
      </w:r>
      <w:r>
        <w:rPr>
          <w:caps w:val="false"/>
          <w:smallCaps w:val="false"/>
        </w:rPr>
        <w:t>”</w:t>
      </w:r>
      <w:r>
        <w:rPr>
          <w:rFonts w:ascii="Times New Roman PS Std;serif" w:hAnsi="Times New Roman PS Std;serif"/>
          <w:b w:val="false"/>
          <w:i w:val="false"/>
          <w:caps w:val="false"/>
          <w:smallCaps w:val="false"/>
          <w:sz w:val="20"/>
        </w:rPr>
        <w:t>) and, as so amended, shall be the articles of incorporation of AIR until thereafter amended as provided therein or in accordance with applicable Law; and (c) AIR shall amend its bylaws effective at the Closing to delete Section 1.11 thereof.</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2.06        </w:t>
      </w:r>
      <w:r>
        <w:rPr>
          <w:rFonts w:ascii="Times New Roman PS Std;serif" w:hAnsi="Times New Roman PS Std;serif"/>
          <w:b w:val="false"/>
          <w:i w:val="false"/>
          <w:caps w:val="false"/>
          <w:smallCaps w:val="false"/>
          <w:sz w:val="20"/>
          <w:u w:val="single"/>
        </w:rPr>
        <w:t>Directors of AIR</w:t>
      </w:r>
      <w:r>
        <w:rPr>
          <w:rFonts w:ascii="Times New Roman PS Std;serif" w:hAnsi="Times New Roman PS Std;serif"/>
          <w:b w:val="false"/>
          <w:i w:val="false"/>
          <w:caps w:val="false"/>
          <w:smallCaps w:val="false"/>
          <w:sz w:val="20"/>
        </w:rPr>
        <w:t>. The parties shall take all requisite action (including to the extent necessary increasing the size of the AIR Board) so that, from and after the Effective Time, the AIR Board shall include no fewer than eight directors, which shall consist only of (a) no fewer than six individuals designated by Tenax and (b) two individuals to be mutually agreed upon by Tenax and AIR, each to hold office in accordance with the articles of incorporation and bylaws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2.07        </w:t>
      </w:r>
      <w:r>
        <w:rPr>
          <w:rFonts w:ascii="Times New Roman PS Std;serif" w:hAnsi="Times New Roman PS Std;serif"/>
          <w:b w:val="false"/>
          <w:i w:val="false"/>
          <w:caps w:val="false"/>
          <w:smallCaps w:val="false"/>
          <w:sz w:val="20"/>
          <w:u w:val="single"/>
        </w:rPr>
        <w:t>Officers</w:t>
      </w:r>
      <w:r>
        <w:rPr>
          <w:rFonts w:ascii="Times New Roman PS Std;serif" w:hAnsi="Times New Roman PS Std;serif"/>
          <w:b w:val="false"/>
          <w:i w:val="false"/>
          <w:caps w:val="false"/>
          <w:smallCaps w:val="false"/>
          <w:sz w:val="20"/>
        </w:rPr>
        <w:t>. The officers of Tenax immediately prior to the Effective Time shall be the officers of the Surviving Company, in each case until their respective successors are duly elected and qualified or until such officer’s earlier death, resignation or removal.</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MERGER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3.01        </w:t>
      </w:r>
      <w:r>
        <w:rPr>
          <w:rFonts w:ascii="Times New Roman PS Std;serif" w:hAnsi="Times New Roman PS Std;serif"/>
          <w:b w:val="false"/>
          <w:i w:val="false"/>
          <w:caps w:val="false"/>
          <w:smallCaps w:val="false"/>
          <w:sz w:val="20"/>
          <w:u w:val="single"/>
        </w:rPr>
        <w:t>Pre-Closing Deliveries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No less than two Business Days prior to the Closing, Tenax shall deliver to AIR a statement prepared in good faith, substantially in the form of Section 3.01 of the Tenax Disclosure Letter (which has been illustratively prepared as if the Effective Time occurred on the Original Execution Date) (the “</w:t>
      </w:r>
      <w:r>
        <w:rPr>
          <w:rFonts w:ascii="Times New Roman PS Std;serif" w:hAnsi="Times New Roman PS Std;serif"/>
          <w:b w:val="false"/>
          <w:i w:val="false"/>
          <w:caps w:val="false"/>
          <w:smallCaps w:val="false"/>
          <w:sz w:val="20"/>
          <w:u w:val="single"/>
        </w:rPr>
        <w:t>Tenax Closing Capitalization Schedule</w:t>
      </w:r>
      <w:r>
        <w:rPr>
          <w:caps w:val="false"/>
          <w:smallCaps w:val="false"/>
        </w:rPr>
        <w:t>”</w:t>
      </w:r>
      <w:r>
        <w:rPr>
          <w:rFonts w:ascii="Times New Roman PS Std;serif" w:hAnsi="Times New Roman PS Std;serif"/>
          <w:b w:val="false"/>
          <w:i w:val="false"/>
          <w:caps w:val="false"/>
          <w:smallCaps w:val="false"/>
          <w:sz w:val="20"/>
        </w:rPr>
        <w:t>), setting forth, in each case, as of the Effective Time, with reasonable supporting detail:</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list of all Tenax Members and Tenax Warrantholders, and each Tenax Member and Tenax Warrantholder’s address; and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(A) the portion of the Merger Consideration payable to each Tenax Member and (B) the portion of the Merger Consideration that would be payable to each Tenax Warrantholder if such Tenax Warrantholder had exercised its Warrant (if and to the extent it remains outstanding) immediately prior to the Effective Time (a “</w:t>
      </w:r>
      <w:r>
        <w:rPr>
          <w:rFonts w:ascii="Times New Roman PS Std;serif" w:hAnsi="Times New Roman PS Std;serif"/>
          <w:b w:val="false"/>
          <w:i w:val="false"/>
          <w:caps w:val="false"/>
          <w:smallCaps w:val="false"/>
          <w:sz w:val="20"/>
          <w:u w:val="single"/>
        </w:rPr>
        <w:t>Tenax Warrantholder Allocation</w:t>
      </w:r>
      <w:r>
        <w:rPr>
          <w:caps w:val="false"/>
          <w:smallCaps w:val="false"/>
        </w:rPr>
        <w:t>”</w:t>
      </w:r>
      <w:r>
        <w:rPr>
          <w:rFonts w:ascii="Times New Roman PS Std;serif" w:hAnsi="Times New Roman PS Std;serif"/>
          <w:b w:val="false"/>
          <w:i w:val="false"/>
          <w:caps w:val="false"/>
          <w:smallCaps w:val="false"/>
          <w:sz w:val="20"/>
        </w:rPr>
        <w:t xml:space="preserve">), in each case which will (1) be calculated in accordance with the terms and conditions of this Agreement and the limited liability company agreement of Tenax and (2) specifically identify the number of shares of AIR Common Stock payable to each Tenax Member and Tenax Warrantholder;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notwithstanding anything otherwise to the contrary in this Agreement, the aggregate number of shares of AIR Common Stock allocated to the Tenax Members and Tenax Warrantholders shall not exceed the number of shares of AIR Common Stock constituting the Merger Consideration.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AIR and its Representatives, including the Transfer Agent, shall be entitled to conclusively rely on the amounts and calculations set forth in the Tenax Closing Capitalization Schedule.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3.02        </w:t>
      </w:r>
      <w:r>
        <w:rPr>
          <w:rFonts w:ascii="Times New Roman PS Std;serif" w:hAnsi="Times New Roman PS Std;serif"/>
          <w:b w:val="false"/>
          <w:i w:val="false"/>
          <w:caps w:val="false"/>
          <w:smallCaps w:val="false"/>
          <w:sz w:val="20"/>
          <w:u w:val="single"/>
        </w:rPr>
        <w:t>Conversion of Securities</w:t>
      </w:r>
      <w:r>
        <w:rPr>
          <w:rFonts w:ascii="Times New Roman PS Std;serif" w:hAnsi="Times New Roman PS Std;serif"/>
          <w:b w:val="false"/>
          <w:i w:val="false"/>
          <w:caps w:val="false"/>
          <w:smallCaps w:val="false"/>
          <w:sz w:val="20"/>
        </w:rPr>
        <w:t>. At the Effective Time, by virtue of the Merger and without any action on the part of Tenax, AIR or Merger Sub:</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Each membership unit of Tenax (“</w:t>
      </w:r>
      <w:r>
        <w:rPr>
          <w:rFonts w:ascii="Times New Roman PS Std;serif" w:hAnsi="Times New Roman PS Std;serif"/>
          <w:b w:val="false"/>
          <w:i w:val="false"/>
          <w:caps w:val="false"/>
          <w:smallCaps w:val="false"/>
          <w:sz w:val="20"/>
          <w:u w:val="single"/>
        </w:rPr>
        <w:t>Tenax Units</w:t>
      </w:r>
      <w:r>
        <w:rPr>
          <w:caps w:val="false"/>
          <w:smallCaps w:val="false"/>
        </w:rPr>
        <w:t>”</w:t>
      </w:r>
      <w:r>
        <w:rPr>
          <w:rFonts w:ascii="Times New Roman PS Std;serif" w:hAnsi="Times New Roman PS Std;serif"/>
          <w:b w:val="false"/>
          <w:i w:val="false"/>
          <w:caps w:val="false"/>
          <w:smallCaps w:val="false"/>
          <w:sz w:val="20"/>
        </w:rPr>
        <w:t xml:space="preserve">) issued and outstanding immediately prior to the Effective Time shall be converted into the right to receive the portion of Merger Consideration allocated in respect thereof in accordance with the Tenax Closing Capitalization Schedule, and each holder of a Tenax Unit immediately prior to the Effective Time shall thereafter cease to have any rights with respect to such Tenax Unit except the right to receive the Merger Consideration in respect thereof, in consideration therefor pursuant to the terms of this Agreement. The Merger Consideration issued (and paid) in accordance with the terms of this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upon conversion of the Tenax Units will be deemed to have been issued (and paid) in full satisfaction of all rights pertaining to such Tenax Units, and after the Effective Time there will be no further registration of transfers on the transfer books (or equivalent) of the Surviving Company of Tenax Units that were outstanding immediately prior to the Effective Time.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membership interests of Merger Sub issued and outstanding immediately prior to the Effective Time shall be converted into 100% of the membership interests of the Surviving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3.03        </w:t>
      </w:r>
      <w:r>
        <w:rPr>
          <w:rFonts w:ascii="Times New Roman PS Std;serif" w:hAnsi="Times New Roman PS Std;serif"/>
          <w:b w:val="false"/>
          <w:i w:val="false"/>
          <w:caps w:val="false"/>
          <w:smallCaps w:val="false"/>
          <w:sz w:val="20"/>
          <w:u w:val="single"/>
        </w:rPr>
        <w:t>Certain Adjustments</w:t>
      </w:r>
      <w:r>
        <w:rPr>
          <w:rFonts w:ascii="Times New Roman PS Std;serif" w:hAnsi="Times New Roman PS Std;serif"/>
          <w:b w:val="false"/>
          <w:i w:val="false"/>
          <w:caps w:val="false"/>
          <w:smallCaps w:val="false"/>
          <w:sz w:val="20"/>
        </w:rPr>
        <w:t xml:space="preserve">. Without limiting the obligations of AIR pursuant to </w:t>
      </w:r>
      <w:r>
        <w:rPr>
          <w:rFonts w:ascii="Times New Roman PS Std;serif" w:hAnsi="Times New Roman PS Std;serif"/>
          <w:b w:val="false"/>
          <w:i w:val="false"/>
          <w:caps w:val="false"/>
          <w:smallCaps w:val="false"/>
          <w:sz w:val="20"/>
          <w:u w:val="single"/>
        </w:rPr>
        <w:t>Section 6.01</w:t>
      </w:r>
      <w:r>
        <w:rPr>
          <w:rFonts w:ascii="Times New Roman PS Std;serif" w:hAnsi="Times New Roman PS Std;serif"/>
          <w:b w:val="false"/>
          <w:i w:val="false"/>
          <w:caps w:val="false"/>
          <w:smallCaps w:val="false"/>
          <w:sz w:val="20"/>
        </w:rPr>
        <w:t>, if, at any time on or after the Original Execution Date and prior to the Closing, AIR makes (or any record date occurs with respect thereto) (i) any subdivision, stock dividend or split of any AIR Common Stock (including the AIR Reverse Stock Split) or (ii) combination, recapitalization, exchange of shares, reclassification or similar transaction of AIR Common Stock into a different number of shares of AIR Common Stock or different class, then the Merger Consideration, the Debt Adjusted AIR Share Price and any other amounts payable pursuant to this Agreement shall be appropriately and equitably adjusted to reflect such event and provide the same economic effect for the Tenax Members as contemplated by this Agreement prior to such event.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3.04        </w:t>
      </w:r>
      <w:r>
        <w:rPr>
          <w:rFonts w:ascii="Times New Roman PS Std;serif" w:hAnsi="Times New Roman PS Std;serif"/>
          <w:b w:val="false"/>
          <w:i w:val="false"/>
          <w:caps w:val="false"/>
          <w:smallCaps w:val="false"/>
          <w:sz w:val="20"/>
          <w:u w:val="single"/>
        </w:rPr>
        <w:t>Repayment of Payoff Debt</w:t>
      </w:r>
      <w:r>
        <w:rPr>
          <w:rFonts w:ascii="Times New Roman PS Std;serif" w:hAnsi="Times New Roman PS Std;serif"/>
          <w:b w:val="false"/>
          <w:i w:val="false"/>
          <w:caps w:val="false"/>
          <w:smallCaps w:val="false"/>
          <w:sz w:val="20"/>
        </w:rPr>
        <w:t xml:space="preserve">. At the Closing, Tenax or one of its Affiliates shall repay, or cause to be repaid, on behalf of AIR and its Subsidiaries, the outstanding balance of the Payoff Debt in accordance with the Payoff Letters furnished to Tenax pursuant to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by wire transfer of immediately available funds to the account designated in the applicable Payoff Letter.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3.05        </w:t>
      </w:r>
      <w:r>
        <w:rPr>
          <w:rFonts w:ascii="Times New Roman PS Std;serif" w:hAnsi="Times New Roman PS Std;serif"/>
          <w:b w:val="false"/>
          <w:i w:val="false"/>
          <w:caps w:val="false"/>
          <w:smallCaps w:val="false"/>
          <w:sz w:val="20"/>
          <w:u w:val="single"/>
        </w:rPr>
        <w:t>Reservation of Shares</w:t>
      </w:r>
      <w:r>
        <w:rPr>
          <w:rFonts w:ascii="Times New Roman PS Std;serif" w:hAnsi="Times New Roman PS Std;serif"/>
          <w:b w:val="false"/>
          <w:i w:val="false"/>
          <w:caps w:val="false"/>
          <w:smallCaps w:val="false"/>
          <w:sz w:val="20"/>
        </w:rPr>
        <w:t>. Prior to the Closing, AIR shall reserve for future issuance upon exercise of the Warrants a number of shares of AIR Common Stock equal to the aggregate amount of the Tenax Warrantholder Allocations set forth on the Tenax Closing Capitalization Schedule.</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3.06        </w:t>
      </w:r>
      <w:r>
        <w:rPr>
          <w:rFonts w:ascii="Times New Roman PS Std;serif" w:hAnsi="Times New Roman PS Std;serif"/>
          <w:b w:val="false"/>
          <w:i w:val="false"/>
          <w:caps w:val="false"/>
          <w:smallCaps w:val="false"/>
          <w:sz w:val="20"/>
          <w:u w:val="single"/>
        </w:rPr>
        <w:t>Exchange of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Transfer Agent</w:t>
      </w:r>
      <w:r>
        <w:rPr>
          <w:rFonts w:ascii="Times New Roman PS Std;serif" w:hAnsi="Times New Roman PS Std;serif"/>
          <w:b w:val="false"/>
          <w:i w:val="false"/>
          <w:caps w:val="false"/>
          <w:smallCaps w:val="false"/>
          <w:sz w:val="20"/>
        </w:rPr>
        <w:t>. At or prior to the Effective Time, AIR shall deposit, or shall cause to be deposited, with Broadridge Corporate Issuer Solutions, LLC (the “</w:t>
      </w:r>
      <w:r>
        <w:rPr>
          <w:rFonts w:ascii="Times New Roman PS Std;serif" w:hAnsi="Times New Roman PS Std;serif"/>
          <w:b w:val="false"/>
          <w:i w:val="false"/>
          <w:caps w:val="false"/>
          <w:smallCaps w:val="false"/>
          <w:sz w:val="20"/>
          <w:u w:val="single"/>
        </w:rPr>
        <w:t>Transfer Agent</w:t>
      </w:r>
      <w:r>
        <w:rPr>
          <w:caps w:val="false"/>
          <w:smallCaps w:val="false"/>
        </w:rPr>
        <w:t>”</w:t>
      </w:r>
      <w:r>
        <w:rPr>
          <w:rFonts w:ascii="Times New Roman PS Std;serif" w:hAnsi="Times New Roman PS Std;serif"/>
          <w:b w:val="false"/>
          <w:i w:val="false"/>
          <w:caps w:val="false"/>
          <w:smallCaps w:val="false"/>
          <w:sz w:val="20"/>
        </w:rPr>
        <w:t>), in trust for the benefit of the Tenax Members, a number of shares of AIR Common Stock, in book-entry or certificated form, equal to the portion of the Merger Consideration issuable to the Tenax Members in accordance with the Tenax Closing Capitalization Schedule for the purpose of exchanging Tenax Units for the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Exchange Procedures</w:t>
      </w:r>
      <w:r>
        <w:rPr>
          <w:rFonts w:ascii="Times New Roman PS Std;serif" w:hAnsi="Times New Roman PS Std;serif"/>
          <w:b w:val="false"/>
          <w:i w:val="false"/>
          <w:caps w:val="false"/>
          <w:smallCaps w:val="false"/>
          <w:sz w:val="20"/>
        </w:rPr>
        <w:t xml:space="preserve">. Prior to the Effective Time, Tenax will provide to each Person who is or will be, as of immediately prior to the Effective Time, a Tenax Member a letter of transmittal, which shall contain customary representations and warranties of the type commensurate with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the Tenax Member will be entitled to receive (following the Effective Time) in exchange such Tenax Member’s Tenax Units, the portion of the Merger Consideration allocated to such Tenax Member in accordance with the Tenax Closing Capitalization Schedule (together with cash in lieu of fractional shares), and such Tenax Member’s Tenax Units will forthwith be canceled. Until exchanged as contemplated by this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xml:space="preserve">, any Tenax Units will be deemed at any time after the Effective Time to represent only the right to receive upon such exchange Merger Consideration as contemplated by this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No interest will be paid or accrue on any cash payable upon exchange of any Tenax Units.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3.07        </w:t>
      </w:r>
      <w:r>
        <w:rPr>
          <w:rFonts w:ascii="Times New Roman PS Std;serif" w:hAnsi="Times New Roman PS Std;serif"/>
          <w:b w:val="false"/>
          <w:i w:val="false"/>
          <w:caps w:val="false"/>
          <w:smallCaps w:val="false"/>
          <w:sz w:val="20"/>
          <w:u w:val="single"/>
        </w:rPr>
        <w:t>No Fractional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certificates or scrip representing fractional shares of AIR Common Stock will be issued upon the conversion of Tenax Units pursuant to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xml:space="preserve">, and such fractional share interests will not entitle the owner thereof to vote or to any rights of a holder of AIR Common Stock. For purposes of this </w:t>
      </w:r>
      <w:r>
        <w:rPr>
          <w:rFonts w:ascii="Times New Roman PS Std;serif" w:hAnsi="Times New Roman PS Std;serif"/>
          <w:b w:val="false"/>
          <w:i w:val="false"/>
          <w:caps w:val="false"/>
          <w:smallCaps w:val="false"/>
          <w:sz w:val="20"/>
          <w:u w:val="single"/>
        </w:rPr>
        <w:t>Section 3.07</w:t>
      </w:r>
      <w:r>
        <w:rPr>
          <w:rFonts w:ascii="Times New Roman PS Std;serif" w:hAnsi="Times New Roman PS Std;serif"/>
          <w:b w:val="false"/>
          <w:i w:val="false"/>
          <w:caps w:val="false"/>
          <w:smallCaps w:val="false"/>
          <w:sz w:val="20"/>
        </w:rPr>
        <w:t>, all fractional shares to which a single record holder would be entitled will be aggregated, and calculations will be rounded up to three decimal places.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Fractional shares of AIR Common Stock that would otherwise be allocable to any former Tenax Members in the Merger will be aggregated, and no Tenax Members will receive cash in exchange therefor equal to or greater than the value of one full share of AIR Common Stock. The Transfer Agent will cause the whole shares obtained thereby to be sold, in the open market or otherwise as reasonably directed by AIR, and in no case later than 20 Business Days after the Effective Time (assuming all Tenax Units have been surrendered pursuant to </w:t>
      </w:r>
      <w:r>
        <w:rPr>
          <w:rFonts w:ascii="Times New Roman PS Std;serif" w:hAnsi="Times New Roman PS Std;serif"/>
          <w:b w:val="false"/>
          <w:i w:val="false"/>
          <w:caps w:val="false"/>
          <w:smallCaps w:val="false"/>
          <w:sz w:val="20"/>
          <w:u w:val="single"/>
        </w:rPr>
        <w:t>Section 3.05</w:t>
      </w:r>
      <w:r>
        <w:rPr>
          <w:caps w:val="false"/>
          <w:smallCaps w:val="false"/>
        </w:rPr>
        <w:t xml:space="preserve"> </w:t>
      </w:r>
      <w:r>
        <w:rPr>
          <w:rFonts w:ascii="Times New Roman PS Std;serif" w:hAnsi="Times New Roman PS Std;serif"/>
          <w:b w:val="false"/>
          <w:i w:val="false"/>
          <w:caps w:val="false"/>
          <w:smallCaps w:val="false"/>
          <w:sz w:val="20"/>
        </w:rPr>
        <w:t xml:space="preserve">by such date). The Transfer Agent will make available the net proceeds thereof, after deducting any required withholding Taxes and brokerage charges, commissions and transfer Taxes, on a pro rata basis, without interest, as soon as practicable to the Tenax Members entitled to receive such cash. Payment of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lieu of fractional shares of AIR Common Stock will be made solely for the purpose of avoiding the expense and inconvenience to AIR of issuing fractional shares of AIR Common Stock and will not represent separately bargained-for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3.08        </w:t>
      </w:r>
      <w:r>
        <w:rPr>
          <w:rFonts w:ascii="Times New Roman PS Std;serif" w:hAnsi="Times New Roman PS Std;serif"/>
          <w:b w:val="false"/>
          <w:i w:val="false"/>
          <w:caps w:val="false"/>
          <w:smallCaps w:val="false"/>
          <w:sz w:val="20"/>
          <w:u w:val="single"/>
        </w:rPr>
        <w:t>No Liability</w:t>
      </w:r>
      <w:r>
        <w:rPr>
          <w:rFonts w:ascii="Times New Roman PS Std;serif" w:hAnsi="Times New Roman PS Std;serif"/>
          <w:b w:val="false"/>
          <w:i w:val="false"/>
          <w:caps w:val="false"/>
          <w:smallCaps w:val="false"/>
          <w:sz w:val="20"/>
        </w:rPr>
        <w:t>. None of the parties hereto, the Surviving Company or the Transfer Agent will be liable to any Person in respect of any shares of AIR Common Stock properly delivered to any public official pursuant to any applicable abandoned property, escheat or similar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3.09        </w:t>
      </w:r>
      <w:r>
        <w:rPr>
          <w:rFonts w:ascii="Times New Roman PS Std;serif" w:hAnsi="Times New Roman PS Std;serif"/>
          <w:b w:val="false"/>
          <w:i w:val="false"/>
          <w:caps w:val="false"/>
          <w:smallCaps w:val="false"/>
          <w:sz w:val="20"/>
          <w:u w:val="single"/>
        </w:rPr>
        <w:t>Further Action</w:t>
      </w:r>
      <w:r>
        <w:rPr>
          <w:rFonts w:ascii="Times New Roman PS Std;serif" w:hAnsi="Times New Roman PS Std;serif"/>
          <w:b w:val="false"/>
          <w:i w:val="false"/>
          <w:caps w:val="false"/>
          <w:smallCaps w:val="false"/>
          <w:sz w:val="20"/>
        </w:rPr>
        <w:t>. If, at any time after the Effective Time, any further action is determined by AIR or Tenax to be necessary or desirable to carry out the purposes of this Agreement or to vest the Surviving Company with full right, title and possession, and to all rights and property, of Merger Sub and Tenax, the officers and directors of the Surviving Company and AIR shall be fully authorized (in the name of Merger Sub, in the name of Tenax, and otherwise) to take such action.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3.10        </w:t>
      </w:r>
      <w:r>
        <w:rPr>
          <w:rFonts w:ascii="Times New Roman PS Std;serif" w:hAnsi="Times New Roman PS Std;serif"/>
          <w:b w:val="false"/>
          <w:i w:val="false"/>
          <w:caps w:val="false"/>
          <w:smallCaps w:val="false"/>
          <w:sz w:val="20"/>
          <w:u w:val="single"/>
        </w:rPr>
        <w:t>AIR Equity Awards</w:t>
      </w:r>
      <w:r>
        <w:rPr>
          <w:rFonts w:ascii="Times New Roman PS Std;serif" w:hAnsi="Times New Roman PS Std;serif"/>
          <w:b w:val="false"/>
          <w:i w:val="false"/>
          <w:caps w:val="false"/>
          <w:smallCaps w:val="false"/>
          <w:sz w:val="20"/>
        </w:rPr>
        <w:t xml:space="preserve">. Each AIR Equity Award that is then outstanding as of immediately prior to the Effective Time shall continue on the same terms and conditions as were applicable to such AIR Equity Award as of immediately prior to the Effective Time. At or prior to the Effective Time, AIR, the AIR Board and the Compensation Committee of the AIR Board, as applicable, shall adopt any resolutions and take any actions which are necessary to effectuate the provisions of this </w:t>
      </w:r>
      <w:r>
        <w:rPr>
          <w:rFonts w:ascii="Times New Roman PS Std;serif" w:hAnsi="Times New Roman PS Std;serif"/>
          <w:b w:val="false"/>
          <w:i w:val="false"/>
          <w:caps w:val="false"/>
          <w:smallCaps w:val="false"/>
          <w:sz w:val="20"/>
          <w:u w:val="single"/>
        </w:rPr>
        <w:t>Section 3.10</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IV</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AIR AND MERGER SUB</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AIR and Merger Sub jointly and severally represent and warrant to Tenax that, except as (A) set forth in the AIR Disclosure Letter (it being understood that any information, item or matter set forth in one section or subsection of the AIR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only items disclosed in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4.07</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shall be deemed disclosed with respect to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4.07</w:t>
      </w:r>
      <w:r>
        <w:rPr>
          <w:rFonts w:ascii="Times New Roman PS Std;serif" w:hAnsi="Times New Roman PS Std;serif"/>
          <w:b w:val="false"/>
          <w:i w:val="false"/>
          <w:caps w:val="false"/>
          <w:smallCaps w:val="false"/>
          <w:sz w:val="20"/>
        </w:rPr>
        <w:t>, respectively); or (B) disclosed in any report, schedule, form, statement or other document (including exhibits and other information incorporated therein) filed with, or furnished to, the SEC from and after January 1, 2023 by AIR and publicly available on the SEC’s Electronic Data Gathering, Analysis, and Retrieval system prior to the Original Execution Date (the “</w:t>
      </w:r>
      <w:r>
        <w:rPr>
          <w:rFonts w:ascii="Times New Roman PS Std;serif" w:hAnsi="Times New Roman PS Std;serif"/>
          <w:b w:val="false"/>
          <w:i w:val="false"/>
          <w:caps w:val="false"/>
          <w:smallCaps w:val="false"/>
          <w:sz w:val="20"/>
          <w:u w:val="single"/>
        </w:rPr>
        <w:t>Filed AIR SEC Reports</w:t>
      </w:r>
      <w:r>
        <w:rPr>
          <w:caps w:val="false"/>
          <w:smallCaps w:val="false"/>
        </w:rPr>
        <w:t>”</w:t>
      </w:r>
      <w:r>
        <w:rPr>
          <w:rFonts w:ascii="Times New Roman PS Std;serif" w:hAnsi="Times New Roman PS Std;serif"/>
          <w:b w:val="false"/>
          <w:i w:val="false"/>
          <w:caps w:val="false"/>
          <w:smallCaps w:val="false"/>
          <w:sz w:val="20"/>
        </w:rPr>
        <w:t xml:space="preserve">), other than in any disclosures in any such Filed AIR SEC Reports contained in the “Risk Factors” and “Special Note Regarding Forward-Looking Statements” and “Quantitative and Qualitative Disclosures about Market Risk” sections thereof or under similarly titled captions or sections thereof (in each case other than any statements of fact) or other similarly cautionary, forward-looking or predictive statements in such Filed AIR SEC Reports;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nothing in the Filed AIR SEC Reports shall be deemed to be disclosures against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4.02</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4.03</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AIR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AIR’s Subsidiaries other than Merger Sub, where the failure to be in good standing or to have such power, authority and governmental authorizations and approvals would not, individually or in the aggregate, reasonably be expected to have an AIR Material Adverse Effect and (ii) with respect to AIR and Merger Sub, where the failure to possess such governmental authorizations and approvals would not, individually or in the aggregate, reasonably be expected to have an AIR Material Adverse Effect. Each of AIR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4.01(b)</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and complete list of each Subsidiary of AIR, the jurisdiction of incorporation or formation of each such Subsidiary and the ownership interest of AIR and any third parties in each such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has made available to Tenax, prior to the execution of this Agreement, a true and complete copy of AIR’s articles of incorporation and bylaws and the equivalent organizational documents of each of its Subsidiaries, in each case, as amended to the date of this Agreement. Such articles of incorporation, bylaws and equivalent organizational documents are in full force and effect. Neither AIR nor any of its Subsidiaries is in violation of any of the provisions of its articles of incorporation, bylaws or equivalent organizational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authorized capital stock of AIR consists of (i) 20,000,000 shares of AIR Common Stock and (ii) 3,000,000 shares of AIR Preferred Stock. As of the Capitalization Date and as of the Original Execution Date, (i) 4,771,954 and 4,781,054 shares, respectively, of AIR Common Stock were issued and outstanding (with no shares of AIR Common Stock issued and held in the treasury of AIR), (ii) no shares of AIR Preferred Stock were issued and outstanding and (iii) 665,281 shares of AIR Common Stock were reserved and available for issuance pursuant to the AIR Stock Plans, of which (A) 425,703 and 485,703 shares, respectively, of AIR Common Stock were subject to outstanding AIR Stock Options (with a weighted-average exercise price of $6.01 as of the Capitalization Date), (B) 190,420 and 431,591 shares, respectively, of AIR Common Stock were subject to outstanding AIR RSU Awards and (C) 361,697 shares of AIR Common Stock were reserved for issuance upon conversion of the AIR Convertible Notes. Except as set forth in this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there are no authorized, issued, reserved for issuance or outstanding (i) shares of capital stock, voting securities or other equity interests of AIR; (ii) options, calls, warrants, convertible debt, other convertible or exchangeable instruments or rights, agreements, arrangements or commitments of any character made or issued by AIR or any of its Subsidiaries obligating AIR or any of its Subsidiaries to issue, deliver or sell any shares of capital stock, voting securities or other equity interests of AIR or any of its Subsidiaries other than the AIR Convertible Notes; or (iii) “phantom” stock, “phantom” stock rights, stock appreciation rights, stock-based units or any other similar interests issued by AIR or any of its Subsidiaries, or rights to acquire such interests from AIR or any Subsidiary. All shares of AIR Stock subject to issuance as aforesaid and, upon issuance on the terms and conditions specified in the instruments pursuant to which they are issuable, will be, and each outstanding share of AIR Stock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AIR or any agreement to which AIR is a party or otherwise bound; and (iii) free of any Encumbrances created by AIR in respect thereof. There are no outstanding contractual obligations of AIR or any of its Subsidiaries to repurchase, redeem or otherwise acquire any capital stock, voting securities or other equity interests or securities convertible into or exchangeable or exercisable for capital stock, voting securities or other equity interests of AIR or any of its Subsidiaries or to provide funds to, or make any investment (in the form of a loan, capital contribution or otherwise) in, any Subsidiary of AIR or any other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All AIR Stock Options and AIR RSU Awards are evidenced by award agreements, in each case, in the forms made available to Tenax by AIR, and no award agreement contains terms that are inconsistent with the applicable forms. There are no declared or accrued unpaid dividends with respect to any AIR Stock. Each AIR Stock Option and each AIR RSU Award may, by its terms, be treated as provided for in </w:t>
      </w:r>
      <w:r>
        <w:rPr>
          <w:rFonts w:ascii="Times New Roman PS Std;serif" w:hAnsi="Times New Roman PS Std;serif"/>
          <w:b w:val="false"/>
          <w:i w:val="false"/>
          <w:caps w:val="false"/>
          <w:smallCaps w:val="false"/>
          <w:sz w:val="20"/>
          <w:u w:val="single"/>
        </w:rPr>
        <w:t>Section 3.10</w:t>
      </w:r>
      <w:r>
        <w:rPr>
          <w:rFonts w:ascii="Times New Roman PS Std;serif" w:hAnsi="Times New Roman PS Std;serif"/>
          <w:b w:val="false"/>
          <w:i w:val="false"/>
          <w:caps w:val="false"/>
          <w:smallCaps w:val="false"/>
          <w:sz w:val="20"/>
        </w:rPr>
        <w:t>. Each AIR Stock Option has an exercise price equal to or greater than the fair market value of a share of AIR Common Stock on the date such AIR Stock Option was granted.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outstanding share of capital stock of, or other equity interests in, each Subsidiary of AIR is duly authorized, validly issued, fully paid and non-assessable; each such share or interest is owned by AIR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AIR or any Subsidiary is a party or otherwise bound. Except for the capital stock of, or other equity interest in, its Subsidiaries, AIR does not own, directly or indirectly, any capital stock of, or other equity or similar interest in, any corporation, partnership, joint venture, association or other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of the date of this Agreement, other than the AIR Convertible Notes, no bonds, debentures, notes or other Indebtedness of AIR having the right to vote (or convertible into or exercisable for securities having the right to vote) on any matters on which stockholders of AIR may vote are issued or outstanding. The AIR 6% Convertible Notes are convertible into shares of AIR Common Stock at a conversion price of $10.50 per share, and the AIR 7% Convertible Notes are convertible into shares of AIR Common Stock at a conversion price of $9.30 per share.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As of the Capitalization Date and as of the Original Execution Date, there was (i) $2,519,068 aggregate principal amount outstanding under the AIR 6% Convertible Notes, (ii) $1,802,000 aggregate principal amount outstanding under the AIR 7% Convertible Notes and (iii) $550,000 aggregate principal amount outstanding under the AIR 12% Subordinated Notes. As of the date of this Agreement, AIR has no outstanding obligations in respect of Indebtedness evidenced by bonds, debentures, notes or similar instruments other than the AIR Subordinated Notes.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provided in the AIR Stockholder Support Agreement, none of AIR or any of its Subsidiaries is party to any stockholder agreements, voting trusts, proxies or other similar agreements, arrangements or understandings with respect to the voting or transfer, or requiring registration, of the AIR Common Stock or the AIR Preferred Stock or other voting or equity interests in AIR or any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shares of AIR Common Stock constituting Merger Consideration being issued hereunder, when issued, sold and delivered in accordance with the terms of this Agreement, will be duly and validly issued, fully paid and nonassessable, and free of any Encumbrances on transfer other than restrictions under AIR’s articles of incorporation (as amended by the AIR Charter Amendment and the AIR Certificate of Change) and under applicable Law, including Blue Sky Laws and the Securities 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AIR owns one hundred percent (100%) of the issued and outstanding limited liability company interests of Merger Sub, free and clear of any Encumbrances (other than restrictions imposed by applicable securities Laws or the organizational documents of Merger Sub), and all of such interests have been duly authorized and validly issued and are fully paid, nonassessable and free of preemptive rights, in each case, in all material respects. Merger Sub does not own any shares of AIR Common Stock.</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4.03        </w:t>
      </w:r>
      <w:r>
        <w:rPr>
          <w:rFonts w:ascii="Times New Roman PS Std;serif" w:hAnsi="Times New Roman PS Std;serif"/>
          <w:b w:val="false"/>
          <w:i w:val="false"/>
          <w:caps w:val="false"/>
          <w:smallCaps w:val="false"/>
          <w:sz w:val="20"/>
          <w:u w:val="single"/>
        </w:rPr>
        <w:t>Authority Relative to This Agreement; Vote Required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AIR and Merger Sub has all necessary power and authority to execute and deliver this Agreement and the other Transaction Documents to which it is a party, to perform its obligations hereunder and thereunder and to consummate the Transactions. The execution and delivery of this Agreement and such other Transaction Documents by AIR and Merger Sub and the consummation by AIR and Merger Sub of the Transactions have been duly and validly authorized by all necessary corporate action or equivalent, and no other proceedings on the part of AIR or Merger Sub are necessary to authorize this Agreement or such other Transaction Documents or to consummate the Transactions other than (i) filing the Certificate of Merger with the Secretary of State of the State of Delaware as required by the DLLCA, (ii) receipt of the AIR Stockholder Approvals and (iii) filing the AIR Charter Amendment with the Nevada Secretary of State in accordance with the NRS. This Agreement has been duly and validly executed and delivered by AIR and Merger Sub and, assuming due authorization, execution and delivery by Tenax, constitutes a legal, valid and binding obligation of each of AIR and Merger Sub, enforceable against each of AIR and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Board, by resolutions duly adopted by unanimous vote of those voting at a meeting duly called and held and not subsequently rescinded, modified or withdrawn in any way prior to the date of this Agreement, has (i) determined that this Agreement and the Transactions are fair to, and in the best interests of, AIR and its stockholders; (ii) adopted this Agreement and approved the Transaction Documents and the Transactions; (iii) resolved to recommend that the stockholders of AIR vote in favor of approving the AIR Charter Amendment and the AIR Stock Issuance; and (iv) directed that the AIR Charter Amendment and the AIR Stock Issuance be submitted to AIR’s stockholders for approval at the AIR Stockholders Meeting.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only votes of the holders of any class or series of capital stock of AIR necessary to approve the AIR Charter Amendment and the AIR Stock Issuance are the AIR Stockholder Approvals.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(i) conflict with or violate the articles of incorporation, bylaws or other equivalent organizational documents of (A) AIR, (B) Merger Sub or (C) any Subsidiaries of AIR other than Merger Sub, (ii) assuming all consents, approvals, authorizations and other actions described in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or taken and all filings and obligations described in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have been made or satisfied, conflict with or violate any Law applicable to AIR or any of its Subsidiaries or by which any property or asset of AIR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AIR or any of its Subsidiaries pursuant to, any Contract, AIR Permit or other instrument or obligation to which AIR or any of its Subsidiaries is a party or by which AIR or any of its Subsidiaries or any of their respective assets or properties is bound or affected, except, with respect to clauses (i)(C), (ii) and (iii) of this </w:t>
      </w:r>
      <w:r>
        <w:rPr>
          <w:rFonts w:ascii="Times New Roman PS Std;serif" w:hAnsi="Times New Roman PS Std;serif"/>
          <w:b w:val="false"/>
          <w:i w:val="false"/>
          <w:caps w:val="false"/>
          <w:smallCaps w:val="false"/>
          <w:sz w:val="20"/>
          <w:u w:val="single"/>
        </w:rPr>
        <w:t>Section 4.04(a)</w:t>
      </w:r>
      <w:r>
        <w:rPr>
          <w:rFonts w:ascii="Times New Roman PS Std;serif" w:hAnsi="Times New Roman PS Std;serif"/>
          <w:b w:val="false"/>
          <w:i w:val="false"/>
          <w:caps w:val="false"/>
          <w:smallCaps w:val="false"/>
          <w:sz w:val="20"/>
        </w:rPr>
        <w:t>, for any such conflicts, violations, breaches, defaults or other occurrences which would not, individually or in the aggregate, reasonably be expected to have an AIR Material Adverse Effect.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require any consent, approval, authorization or permit of, or filing with or notification to, any Governmental Authority, except (i) the filing with the SEC of a registration statement on Form S-4 to register under the Securities Act the shares of AIR Common Stock to be issued in connection with the Merger (together with all amendments and supplements thereto, the “</w:t>
      </w:r>
      <w:r>
        <w:rPr>
          <w:rFonts w:ascii="Times New Roman PS Std;serif" w:hAnsi="Times New Roman PS Std;serif"/>
          <w:b w:val="false"/>
          <w:i w:val="false"/>
          <w:caps w:val="false"/>
          <w:smallCaps w:val="false"/>
          <w:sz w:val="20"/>
          <w:u w:val="single"/>
        </w:rPr>
        <w:t>Registration Statement</w:t>
      </w:r>
      <w:r>
        <w:rPr>
          <w:caps w:val="false"/>
          <w:smallCaps w:val="false"/>
        </w:rPr>
        <w:t>”</w:t>
      </w:r>
      <w:r>
        <w:rPr>
          <w:rFonts w:ascii="Times New Roman PS Std;serif" w:hAnsi="Times New Roman PS Std;serif"/>
          <w:b w:val="false"/>
          <w:i w:val="false"/>
          <w:caps w:val="false"/>
          <w:smallCaps w:val="false"/>
          <w:sz w:val="20"/>
        </w:rPr>
        <w:t>), which will include a proxy statement/prospectus relating to the AIR Stockholders Meeting (the “</w:t>
      </w:r>
      <w:r>
        <w:rPr>
          <w:rFonts w:ascii="Times New Roman PS Std;serif" w:hAnsi="Times New Roman PS Std;serif"/>
          <w:b w:val="false"/>
          <w:i w:val="false"/>
          <w:caps w:val="false"/>
          <w:smallCaps w:val="false"/>
          <w:sz w:val="20"/>
          <w:u w:val="single"/>
        </w:rPr>
        <w:t>Proxy Statement/Prospectus</w:t>
      </w:r>
      <w:r>
        <w:rPr>
          <w:caps w:val="false"/>
          <w:smallCaps w:val="false"/>
        </w:rPr>
        <w:t>”</w:t>
      </w:r>
      <w:r>
        <w:rPr>
          <w:rFonts w:ascii="Times New Roman PS Std;serif" w:hAnsi="Times New Roman PS Std;serif"/>
          <w:b w:val="false"/>
          <w:i w:val="false"/>
          <w:caps w:val="false"/>
          <w:smallCaps w:val="false"/>
          <w:sz w:val="20"/>
        </w:rPr>
        <w:t>), the declaration of effectiveness of the Registration Statement under the Securities Act, the filing with the SEC of the Proxy Statement/Prospectus and the filing with the SEC of such other reports required in connection with the Transactions under, and such other compliance with, the Exchange Act and the Securities Act and the rules and regulations thereunder, (ii) the filing with the Secretary of State of the State of Delaware of the Certificate of Merger as required by the DLLCA, (iii) the filing with the Nevada Secretary of State of the AIR Charter Amendment in accordance with the NRS, (iv) compliance with notices and filings under the HSR Act and all other applicable Antitrust Laws (as defined below), (v) such filings and approvals as are required to be made or obtained under Blue Sky Laws in connection with the AIR Stock Issuance, (vi) any notices, applications and filings required under the rules and regulations of the NYSE American, including the application to the NYSE American for the acquisition and issuance of the shares of AIR Common Stock constituting Merger Consideration for trading thereon, (vii) post-Closing filings by AIR and Tenax with the U.S. Department of State with respect to AIR’s open export licenses, (viii) post-Closing filings with the U.S. Government System of Award Management with respect to AIR’s Commercial and Government Entity (CAGE) code registration and (ix) such other consents, approvals, orders, authorizations, registrations, declarations, transfers, waivers, disclaimers and filings, the failure of which to be obtained or made would not, individually or in the aggregate, reasonably be expected to have an AIR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4.05        </w:t>
      </w:r>
      <w:r>
        <w:rPr>
          <w:rFonts w:ascii="Times New Roman PS Std;serif" w:hAnsi="Times New Roman PS Std;serif"/>
          <w:b w:val="false"/>
          <w:i w:val="false"/>
          <w:caps w:val="false"/>
          <w:smallCaps w:val="false"/>
          <w:sz w:val="20"/>
          <w:u w:val="single"/>
        </w:rPr>
        <w:t>Permits; Compliance</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AIR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AIR nor any of its Subsidiaries has received any written notice alleging, or been charged with, any material violation of any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AIR and each of its Subsidiaries have obtained and hold all AIR Permits, and all such AIR Permits are valid and in full force and effect, except where the failure to hold the same or to be in full force and effect would not, individually or in the aggregate, reasonably be expected to have an AIR Material Adverse Effect. In addition, (i) there has occurred no default under, or violation of, any such AIR Permit, (ii) no suspension or cancellation of any of the AIR Permits is pending or, to the knowledge of AIR, threatened and (iii) AIR has taken all measures reasonably necessary (including by making all applications or filings required by applicable Law or the applicable Governmental Authority) to extend any AIR Permit to prevent the expiration thereof, in each case, except as would not, individually or in the aggregate, reasonably be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4.06        </w:t>
      </w:r>
      <w:r>
        <w:rPr>
          <w:rFonts w:ascii="Times New Roman PS Std;serif" w:hAnsi="Times New Roman PS Std;serif"/>
          <w:b w:val="false"/>
          <w:i w:val="false"/>
          <w:caps w:val="false"/>
          <w:smallCaps w:val="false"/>
          <w:sz w:val="20"/>
          <w:u w:val="single"/>
        </w:rPr>
        <w:t>SEC Filings; Financial Statements; Undisclosed 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AIR has filed all forms, reports, statements, schedules and other documents required to be filed by it with the SEC since January 1, 2023 (collectively, the “</w:t>
      </w:r>
      <w:r>
        <w:rPr>
          <w:rFonts w:ascii="Times New Roman PS Std;serif" w:hAnsi="Times New Roman PS Std;serif"/>
          <w:b w:val="false"/>
          <w:i w:val="false"/>
          <w:caps w:val="false"/>
          <w:smallCaps w:val="false"/>
          <w:sz w:val="20"/>
          <w:u w:val="single"/>
        </w:rPr>
        <w:t>AIR SEC Reports</w:t>
      </w:r>
      <w:r>
        <w:rPr>
          <w:caps w:val="false"/>
          <w:smallCaps w:val="false"/>
        </w:rPr>
        <w:t>”</w:t>
      </w:r>
      <w:r>
        <w:rPr>
          <w:rFonts w:ascii="Times New Roman PS Std;serif" w:hAnsi="Times New Roman PS Std;serif"/>
          <w:b w:val="false"/>
          <w:i w:val="false"/>
          <w:caps w:val="false"/>
          <w:smallCaps w:val="false"/>
          <w:sz w:val="20"/>
        </w:rPr>
        <w:t>). The AIR SEC Reports (i) at the time they were filed and, if amended, as of the date of such amendment, complied in all material respect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Each of the consolidated financial statements (including, in each case, any notes thereto) contained in the AIR SEC Reports (collectively, the “</w:t>
      </w:r>
      <w:r>
        <w:rPr>
          <w:rFonts w:ascii="Times New Roman PS Std;serif" w:hAnsi="Times New Roman PS Std;serif"/>
          <w:b w:val="false"/>
          <w:i w:val="false"/>
          <w:caps w:val="false"/>
          <w:smallCaps w:val="false"/>
          <w:sz w:val="20"/>
          <w:u w:val="single"/>
        </w:rPr>
        <w:t>AIR Financial Statements</w:t>
      </w:r>
      <w:r>
        <w:rPr>
          <w:caps w:val="false"/>
          <w:smallCaps w:val="false"/>
        </w:rPr>
        <w:t>”</w:t>
      </w:r>
      <w:r>
        <w:rPr>
          <w:rFonts w:ascii="Times New Roman PS Std;serif" w:hAnsi="Times New Roman PS Std;serif"/>
          <w:b w:val="false"/>
          <w:i w:val="false"/>
          <w:caps w:val="false"/>
          <w:smallCaps w:val="false"/>
          <w:sz w:val="20"/>
        </w:rPr>
        <w:t>)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AIR and its consolidated Subsidiaries as of the respective dates thereof and for the respective periods indicated therein (subject, in the case of unaudited financial statements, to normal year-end adjustments).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AIR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AIR nor any of its Subsidiaries has any liabilities or obligations of any nature (whether accrued, absolute, contingent or otherwise), except liabilities (i) reflected or reserved against in the consolidated balance sheet (or the notes thereto) of AIR as of December 31, 2024, included in the AIR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by AIR of this Agreement shall not be deemed a liability incurred in connection with the negotiation, execution, delivery or performance of, or pursuant to the terms of, this Agreement) or (iv) that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none of AIR, AIR’s independent accountants, the AIR Board or its audit committee has received any written, or to the knowledge of AIR, oral notification of any (i) “significant deficiency” in the internal controls over financial reporting of AIR; (ii) “material weakness” in the internal controls over financial reporting of AIR; or (iii) fraud, whether or not material, that involves management or other employees of AIR who have a significant role in the internal controls over financial reporting of AIR. Since January 1, 2023, there have been no material internal investigations regarding accounting, auditing or revenue recognition discussed with, reviewed by or initiated at the direction of the Chief Executive Officer or Chief Financial Officer of AIR or the AIR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January 1, 2023, (i) neither AIR nor any of its Subsidiaries has received any written or, to the knowledge of AIR, oral complaint, allegation, assertion or claim regarding accounting, internal accounting controls or auditing practices, procedures, methodologies or methods of AIR or any of its Subsidiaries, or unlawful accounting or auditing matters with respect to AIR or any of its Subsidiaries, and (ii) no attorney representing AIR or any of its Subsidiaries, whether or not employed by AIR or any of its Subsidiaries, has reported evidence of a breach of fiduciary duty or similar violation by AIR or any of its Subsidiaries or any of their respective officers, directors, employees or agents to the AIR Board or any committee thereof or to the General Counsel or Chief Executive Officer of AIR, except as, in each of (i) and (ii), has not had and would not, individually or in the aggregate, reasonably be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AIR nor any of its Subsidiaries is a party to, or has any commitment to become a party to, any joint venture, off-balance sheet partnership or similar Contract (including any Contract or arrangement relating to any transaction or relationship between or among AIR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AIR or any of its Subsidiaries in the AIR Financial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4.07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an AIR Material Adverse Effect. From December 31, 2024 to the Original Execution Date, (a) AIR and its Subsidiaries have conducted their businesses in all material respects in the ordinary course and in a manner consistent with past practice and (b) neither AIR nor any of its Subsidiaries has taken any action that, if taken after the Original Execution Date, would constitute a breach of any of the covenants set forth in </w:t>
      </w:r>
      <w:r>
        <w:rPr>
          <w:rFonts w:ascii="Times New Roman PS Std;serif" w:hAnsi="Times New Roman PS Std;serif"/>
          <w:b w:val="false"/>
          <w:i w:val="false"/>
          <w:caps w:val="false"/>
          <w:smallCaps w:val="false"/>
          <w:sz w:val="20"/>
          <w:u w:val="single"/>
        </w:rPr>
        <w:t>Section 6.01</w:t>
      </w:r>
      <w:r>
        <w:rPr>
          <w:caps w:val="false"/>
          <w:smallCaps w:val="false"/>
        </w:rPr>
        <w:t xml:space="preserve"> </w:t>
      </w:r>
      <w:r>
        <w:rPr>
          <w:rFonts w:ascii="Times New Roman PS Std;serif" w:hAnsi="Times New Roman PS Std;serif"/>
          <w:b w:val="false"/>
          <w:i w:val="false"/>
          <w:caps w:val="false"/>
          <w:smallCaps w:val="false"/>
          <w:sz w:val="20"/>
        </w:rPr>
        <w:t xml:space="preserve">(with the exception of those set forth in </w:t>
      </w:r>
      <w:r>
        <w:rPr>
          <w:rFonts w:ascii="Times New Roman PS Std;serif" w:hAnsi="Times New Roman PS Std;serif"/>
          <w:b w:val="false"/>
          <w:i w:val="false"/>
          <w:caps w:val="false"/>
          <w:smallCaps w:val="false"/>
          <w:sz w:val="20"/>
          <w:u w:val="single"/>
        </w:rPr>
        <w:t>clauses (b)(i)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(xviii)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(xix)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(xxii)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(xxiii)</w:t>
      </w:r>
      <w:r>
        <w:rPr>
          <w:caps w:val="false"/>
          <w:smallCaps w:val="false"/>
        </w:rPr>
        <w:t xml:space="preserve"> </w:t>
      </w:r>
      <w:r>
        <w:rPr>
          <w:rFonts w:ascii="Times New Roman PS Std;serif" w:hAnsi="Times New Roman PS Std;serif"/>
          <w:b w:val="false"/>
          <w:i w:val="false"/>
          <w:caps w:val="false"/>
          <w:smallCaps w:val="false"/>
          <w:sz w:val="20"/>
        </w:rPr>
        <w:t>(to the extent related to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relating to AIR and its Subsidiaries that is provided by or on behalf of AIR or any of its Subsidiaries for inclusion in the Registration Statement and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 The Registration Statement and the Proxy Statement/Prospectus (except for such portions thereof that relate only to Tenax or any of its Subsidiaries) will comply as to form in all material respects with the provisions of the Securities Act, the Exchange Act and the rules and regulations thereunder. Notwithstanding the foregoing, AIR and Merger Sub make no representation or warranty with respect to statements made or incorporated by reference therein based on information supplied by or on behalf of Tenax or any Subsidiaries thereof for inclusion or incorporation by reference in the Registration Statement or the Proxy Statement/Prospectus.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4.09        </w:t>
      </w:r>
      <w:r>
        <w:rPr>
          <w:rFonts w:ascii="Times New Roman PS Std;serif" w:hAnsi="Times New Roman PS Std;serif"/>
          <w:b w:val="false"/>
          <w:i w:val="false"/>
          <w:caps w:val="false"/>
          <w:smallCaps w:val="false"/>
          <w:sz w:val="20"/>
          <w:u w:val="single"/>
        </w:rPr>
        <w:t>Operations of Merger Sub</w:t>
      </w:r>
      <w:r>
        <w:rPr>
          <w:rFonts w:ascii="Times New Roman PS Std;serif" w:hAnsi="Times New Roman PS Std;serif"/>
          <w:b w:val="false"/>
          <w:i w:val="false"/>
          <w:caps w:val="false"/>
          <w:smallCaps w:val="false"/>
          <w:sz w:val="20"/>
        </w:rPr>
        <w:t>. Merger Sub is a direct, wholly owned Subsidiary of AIR, was formed solely for the purpose of engaging in the Transactions, has engaged in no other business activities and has conducted its operations only as contemplated by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val="false"/>
          <w:caps w:val="false"/>
          <w:smallCaps w:val="false"/>
          <w:sz w:val="20"/>
          <w:u w:val="single"/>
        </w:rPr>
        <w:t>Absence of Litigation</w:t>
      </w:r>
      <w:r>
        <w:rPr>
          <w:rFonts w:ascii="Times New Roman PS Std;serif" w:hAnsi="Times New Roman PS Std;serif"/>
          <w:b w:val="false"/>
          <w:i w:val="false"/>
          <w:caps w:val="false"/>
          <w:smallCaps w:val="false"/>
          <w:sz w:val="20"/>
        </w:rPr>
        <w:t>. There is no Action pending or, to the knowledge of AIR, threatened (i) against or involving AIR, any of its Subsidiaries or any of their respective assets, officers, directors or key employees (in the case of officers, directors or key employees, arising out of such officer’s, director’s or key employee’s relationship with AIR) that, individually or in the aggregate, has or would reasonably be expected to have an AIR Material Adverse Effect or (ii) that seeks to restrain or enjoin the consummation of the Transactions. There is not any Order of any Governmental Authority or arbitrator outstanding against, or, to the knowledge of AIR, investigation by any Governmental Authority involving, AIR, any of its Subsidiaries or any of their respective assets, officers, directors or key employees (in the case of such officers, directors or key employees, such as would affect AIR or any of its Subsidiaries) that, individually or in the aggregate, has or would reasonably be expected to have an AIR Material Adverse Effect. There is no material Action pending by AIR or any of its Subsidiaries, or which AIR or any of its Subsidiaries intends to initiate, against any other Person. The foregoing includes Actions pending or threatened (or any basis therefor to the knowledge of AIR) involving the prior employment of any of the employees of AIR or any of its Subsidiaries, services of the employees of AIR or any of its Subsidiaries provided in connection with AIR’s business, any information or techniques allegedly proprietary to any former employer of an employee of AIR or any of its Subsidiaries or obligations of an employee of AIR or any of its Subsidiaries under any agreement with such employee’s former employer.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4.11(a)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correct and complete list of each AIR Benefit Plan. With respect to each AIR Benefit Plan, true, correct and complete copies of the following have been delivered or made available to Tenax by AIR: (i) all plan documents (including all amendments and attachments thereto), or written summaries of any AIR Benefit Plan not in writing; (ii) all related trust documents, insurance Contracts or other funding arrangements; (iii) the two most recent financial statements and actuarial or other valuation reports; (iv) the two most recent annual reports (Form 5500) or similar reports filed with the IRS or other applicable Governmental Authority; (v) the most recent determination letter or opinion letter from the IRS or other applicable Governmental Authority; (vi) the most recent summary plan description and any summary of material modification thereto; and (vii) any non-routine correspondence with any Governmental Authority in the past six years.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AIR Benefit Plan has been, in all material respects, established, maintained, operated, funded and administered in accordance with its terms, all applicable Laws and the terms of all AIR Collective Bargaining Agreements. AIR and its Subsidiaries and, to the knowledge of AIR, all fiduciaries of any AIR Benefit Plan are, and at all times have been, in compliance in all material respects with all Laws relating to the AIR Benefit Plans and the provision of compensation and benefits. Except as would not, individually or in the aggregate, reasonably be expected to have an AIR Material Adverse Effect, no Action is pending or, to the knowledge of AIR, threatened with respect to any AIR Benefit Plan (other than claims for benefits in the ordinary course) and, to the knowledge of AIR, there are not any facts that would be reasonably expected to give rise to any Action with respect to any AIR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AIR Benefit Plan that is intended to be qualified under Section 401(a) of the Code is so qualified and either has received a favorable determination letter from the IRS or may rely upon a favorable opinion letter from the IRS as to its qualified status and, to the knowledge of AIR, there are no facts or circumstances that could reasonably be expected to adversely affect such qualification or cause the imposition of a material liability, penalty or Tax under ERISA, the Code or other applicable Laws with respect to any such AIR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AIR Benefit Plan is, and neither AIR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AIR Benefit Plan is, and neither AIR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execution and delivery of this Agreement nor the consummation of the Transactions could (either alone or in connection with any other event, including a termination of employment or service of any current or former AIR Service Provider following, or in connection with, the Transactions): (i) entitle any current or former AIR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AIR Benefit Plans; (iii) limit or restrict the right of AIR or any of its Subsidiaries to amend, modify or terminate any of the AIR Benefit Plans; or (iv) result in the payment of any compensation or any benefits that would, individually or in combination with any other such compensation or benefits, constitute an “excess parachute payment”, as defined in Section 280G(b)(1) of the Code, to any current or former AIR Service Provider.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AIR nor any of its Subsidiaries has any liability in respect of, or obligation to provide, post-retirement or other post-employment health, life insurance or welfare benefits for any current or former AIR Service Provider (or the spouses, dependents or beneficiaries of any such individuals), whether under an AIR Benefit Plan or otherwise, except as required to comply with Section 4980B of the Code or any similar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No current or former AIR Service Provider is entitled to any gross-up, make-whole, indemnification, reimbursement or other additional payment from AIR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val="false"/>
          <w:caps w:val="false"/>
          <w:smallCaps w:val="false"/>
          <w:sz w:val="20"/>
          <w:u w:val="single"/>
        </w:rPr>
        <w:t>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4.12(a)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correct and complete list of all employees of AIR and its Subsidiaries, including each such employee’s: (i) name; (ii) position or job title; (iii) date of hire; (iv) current base salary or wage rate; (v) classification as exempt or non-exempt for wage and hour purposes (as applicable); (vi) union status; and (vii) whether such employee is on a leave of absence (including reason for such leave, as applicable). AIR employs no part time or temporary employees, and no employee is entitled to an incentive opportunity for the current year (including sales incentives and commissions). All employees work either at AIR’s facility in Bay Shore, New York or Barkhamsted, Connecticut. Each employee is authorized to work in the United States, and no employee requires sponsorship of a work visa or work permit by AIR to maintain such authorization.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4.12(b)</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correct and complete list of all AIR Collective Bargaining Agreements.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AIR Service Provider and there are no such strikes or other material labor disputes or work stoppages or campaigns, petitions or other activities ongoing, pending or, to the knowledge of AIR, threatened. Neither the execution of this Agreement nor the consummation of the Transactions will require AIR or any of its Subsidiaries to provide notice to, enter into any consultation procedure with, or trigger any similar obligation to, any labor organization, works council or similar body under applicable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AIR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an AIR Material Adverse Effect, no Action by or before any Governmental Authority with respect to AIR or any of its Subsidiaries in relation to the employment or alleged employment of any individual is pending, ongoing or, to the knowledge of AIR, threatened, nor has AIR or any of its Subsidiaries received any notice indicating an intention to conduct the same.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AIR and its Subsidiaries have not received, been involved in or been subject to any Actions or any other material complaints, claims or actions alleging sexual harassment, sexual misconduct, bullying or discrimination committed by any director, officer or other managerial employee of AIR or any of its Subsidiaries or alleging a workplace culture that encourages or is conducive to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val="false"/>
          <w:caps w:val="false"/>
          <w:smallCaps w:val="false"/>
          <w:sz w:val="20"/>
          <w:u w:val="single"/>
        </w:rPr>
        <w:t>Real and Personal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4.13(a)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and complete list of the street addresses of all AIR Owned Real Property. Except as would not, individually or in the aggregate, reasonably be expected to have an AIR Material Adverse Effect, (i) AIR or a Subsidiary of AIR has good and insurable fee simple title to each AIR Owned Real Property, free and clear of all Encumbrances, except Permitted Encumbrances; (ii) there are no outstanding options, rights of first offer or rights of first refusal for the benefit of a third party to purchase any AIR Owned Real Property or any portion thereof or interest therein; and (iii) neither AIR nor any of its Subsidiaries has received written notice of any pending and, to the knowledge of AIR, there is no threatened, condemnation with respect to any AIR Owned Real Property or any portion thereof. AIR and its Subsidiaries have not leased, licensed or granted any right to use or occupy any portion of any AIR Owned Real Property to any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4.13(b)</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sets forth, a true and complete list of the street addresses of all AIR Leased Real Property, together with a description of the underlying AIR Real Property Lease. True, correct and complete copies of each AIR Real Property Lease have been made available to Tenax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Original Execution Date. Except as would not, individually or in the aggregate, reasonably be expected to have an AIR Material Adverse Effect, (i) each AIR Real Property Lease is valid and binding on AIR or the Subsidiary of AIR that is a party thereto and, to the knowledge of AIR, each other party thereto, and is in full force and effect; (ii) all rent and other sums and charges payable by AIR or any of its Subsidiaries thereunder are current and all obligations required to be performed or complied with by AIR or any of its Subsidiaries thereunder have been performed; (iii) no termination event or condition or uncured default of a material nature on the part of AIR or, if applicable, any of its Subsidiaries or, to the knowledge of AIR, the landlord thereunder, exists under any AIR Real Property Lease; (iv) AIR and each of its Subsidiaries has a good and valid leasehold, subleasehold or licensee interest in each AIR Leased Real Property, free and clear of all Encumbrances, except Permitted Encumbrances; (v) neither AIR nor any of its Subsidiaries has received any written notice from any landlord under any AIR Real Property Lease of any default or that such landlord intends to terminate such AIR Real Property Lease; and (vi) neither AIR nor any of its Subsidiaries has received written notice of any pending and, to the knowledge of AIR, there is no threatened, condemnation with respect to any AIR Leased Real Property or any portion thereof. AIR and its Subsidiaries have not subleased, licensed or granted any right to use or occupy any portion of any AIR Leased Real Property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AIR or, if applicable, its Subsidiaries or, to the knowledge of AIR, any Person thereunder, exists under any lease of any personal property.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4.14(a)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and complete list of all (i) Registered AIR IP, indicating for each such item, as applicable, the owner, the application, publication or registration number and date and jurisdiction of filing or issuance; (ii) material Software included in the AIR Owned IP; and (iii) social media handles or accounts used by AIR.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Owned IP is subsisting and, to the knowledge of AIR, valid and enforceable and AIR and its Subsidiaries possess all rights, title and interests in and to the AIR Owned IP, free and clear of any Encumbrances other than Permitted Encumbrances.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Since January 1, 2023, the operation of AIR’s business has not infringed, misappropriated or otherwise violated the Intellectual Property of any third party, and to the knowledge of AIR, no other Person has infringed, diluted, misappropriated or otherwise violated, or is infringing, diluting, misappropriating or otherwise violating, the AIR IP. Since January 1, 2023, there have been no, and there are currently no, pending Actions or Actions threatened in writing regarding: (i) the licensing or use by AIR or any of its Subsidiaries of any other Person’s Intellectual Property; (ii) any actual or potential infringement, dilution, misappropriation or other violation by any other Person of AIR Owned IP; or (iii) any actual or potential infringement, dilution, misappropriation or other violation of any other Person’s Intellectual Property by AIR or any of its Subsidiaries, and to the knowledge of AIR, no valid basis exists for any Action in connection with any of the foregoing items (i) through (iii) of this </w:t>
      </w:r>
      <w:r>
        <w:rPr>
          <w:rFonts w:ascii="Times New Roman PS Std;serif" w:hAnsi="Times New Roman PS Std;serif"/>
          <w:b w:val="false"/>
          <w:i w:val="false"/>
          <w:caps w:val="false"/>
          <w:smallCaps w:val="false"/>
          <w:sz w:val="20"/>
          <w:u w:val="single"/>
        </w:rPr>
        <w:t>Section 4.14(c)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AIR and its Subsidiaries own or have a valid right to use all Intellectual Property that is in use or planned for use in the operation or conduct of AIR’s business, and the AIR IP constitutes all of the Intellectual Property that is used, held for use or planned for use in the conduct of AIR’s business in the manner in which it is currently being conducted. The consummation of this Agreement and compliance by AIR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AIR Owned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Each of AIR and its Subsidiaries have used commercially reasonable efforts consistent with industry standards to maintain, preserve and protect the secrecy and confidentiality of their Trade Secrets and confidential information of other Persons that is in the possession of AIR and its Subsidiaries and prevent the misuse or misappropriation of the Trade Secrets and other such confidential information included in the AIR IP,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development of policies for the protection of Intellectual Property. Each current and former director, officer, employee, contractor or consultant of AIR and its Subsidiaries has entered into a written agreement with AIR that requires such director, officer, employee, contractor or consultant to protect the secrecy and confidentiality of such Trade Secrets and information. There has been no misappropriation or unauthorized disclosure or use of any of AIR’s Trade Secrets or confidential information of other Persons that is in the possession of AIR and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No current or former director, officer, employee, contractor or consultant of AIR or its Subsidiaries owns any rights in or to any AIR Owned IP. All current and former directors, officers, employees, contractors and consultants of AIR and its Subsidiaries who contributed to the discovery, creation or development of any material AIR Owned IP (i) did so within the scope of his or her employment such that it constituted a work made for hire and all AIR Owned IP arising therefrom became the exclusive property of AIR or any of its Subsidiaries or (ii) pursuant to an executed, enforceable, valid written agreement, presently assigned all of his or her rights in AIR Owned IP to AIR or any of its Subsidiaries. No current or former directors, officers, employees, contractors or consultants of AIR or any of its Subsidiaries has made or threatened to make any claim of ownership or right, in whole or in part, to any AIR Owned IP or asserted in an Action against AIR or any of its Subsidiaries such claim of ownership or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individually or in the aggregate, reasonably be material to AIR, AIR and its Subsidiaries have complied in all material respects with the requirements of the licenses for any Public Software used in the business.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No funding, facilities or personnel of any Governmental Authority or any university, college, research institute or other educational institution (each, an “</w:t>
      </w:r>
      <w:r>
        <w:rPr>
          <w:rFonts w:ascii="Times New Roman PS Std;serif" w:hAnsi="Times New Roman PS Std;serif"/>
          <w:b w:val="false"/>
          <w:i w:val="false"/>
          <w:caps w:val="false"/>
          <w:smallCaps w:val="false"/>
          <w:sz w:val="20"/>
          <w:u w:val="single"/>
        </w:rPr>
        <w:t>R&amp;D Sponsor</w:t>
      </w:r>
      <w:r>
        <w:rPr>
          <w:caps w:val="false"/>
          <w:smallCaps w:val="false"/>
        </w:rPr>
        <w:t>”</w:t>
      </w:r>
      <w:r>
        <w:rPr>
          <w:rFonts w:ascii="Times New Roman PS Std;serif" w:hAnsi="Times New Roman PS Std;serif"/>
          <w:b w:val="false"/>
          <w:i w:val="false"/>
          <w:caps w:val="false"/>
          <w:smallCaps w:val="false"/>
          <w:sz w:val="20"/>
        </w:rPr>
        <w:t>) has been used to create any Intellectual Property owned or purported to be owned by AIR and its Subsidiaries. No R&amp;D Sponsor has any claim of right or license to, ownership of or other Encumbrance (other than a Permitted Encumbrance) on any AIR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individually or in the aggregate, reasonably be expected to have an AIR Material Adverse Effect, (i) AIR and its Subsidiaries are in compliance with all applicable Privacy and Data Security Requirements and (ii) since January 1, 2023, none of AIR or its Subsidiaries has received a complaint from any Governmental Authority or any other third party regarding its collection, storage, Processing, disclosure, transfer or use of Personal Data that is pending or unresolved and, to the knowledge of AIR, there are no facts or circumstances that would give rise to any such complaints. Since January 1, 2023, AIR and its Subsidiaries have used commercially reasonable measures, consistent with accepted industry practices, designed to ensure the confidentiality, integrity, availability, privacy and security of Personal Data Processed by AIR or any of its Subsidiaries and to protect any Personal Data under their possession or control from any unauthorized use or access. Except as would not, individually or in the aggregate, reasonably be expected to result in an AIR Material Adverse Effect, since January 1, 2023, neither AIR nor any of its Subsidiaries has experienced any breaches or unauthorized uses of or access to Personal Data within the possession or control of AIR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AIR IT Assets operate and perform in all material respects in accordance with their documentation and functional specifications and otherwise as required to permit the operation of AIR’s business as currently conducted. Since January 1, 2023, (i) there has been no security breach or unauthorized access to or use of any of the AIR IT Assets, whether physical or electronic, and (ii) except as would not, individually or in the aggregate, reasonably be expected to have an AIR Material Adverse Effect, the AIR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AIR IT Assets or to the business of AIR. AIR and its Subsidiaries have implemented commercially reasonable backup, security and disaster recovery technology consistent with industry practices and are in compliance with applicable Privacy and Data Security Requirements for the AIR IT Assets used in the business, including regular backup and prompt recovery of data and information.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AIR nor any of its Subsidiaries use any Artificial Intelligence Tools in the business. Except as would not, individually or in the aggregate, reasonably be expected to have any AIR Material Adverse Effect, no Personal Data, Trade Secrets or other confidential information of AIR or its Subsidiaries or confidential information of other Persons that is in the possession of AIR and its Subsidiaries are used in any input to any Artificial Intelligence Tool or in developing or training any internal or third-party Artificial Intelligence Tool.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and other material Tax Returns required to be filed by or with respect to AIR or any of its Subsidiaries have been timely filed (taking into account any extension of time within which to file) and all such Tax Returns are true, complete and accurate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material Taxes of AIR and its Subsidiaries have been timely paid, whether or not required to be shown on a Tax Return, or, in the case of Taxes not yet due or that are being contested in good faith, have been accrued or reserved, in accordance with GAAP, on the AIR Financial Statements. There are no Tax Encumbrances on the assets of AIR or any of its Subsidiaries other than Permitted Encumbrances.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AIR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AIR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AIR or any of its Subsidiaries is currently in progress. No deficiency for any material amount of Tax has been asserted or assessed by a Governmental Authority against AIR or any of its Subsidiaries that has not been settled, paid or withdrawn.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AIR nor any of its Subsidiaries has been a party to any transaction treated by the parties as a distribution to which Section 355 or 361 of the Code applies.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AIR nor any of its Subsidiaries has participated in a “listed transaction” within the meaning of Treasury Regulation § 1.6011-4(b), or any similar provision of state, local or foreign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AIR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AIR); or (iv) has liability for the Taxes of any Person under Treasury Regulation § 1.1502-6 (or any similar provision of state, local or foreign Law), as a transferee or successor, or by Contract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Section 4.15(h)</w:t>
      </w:r>
      <w:r>
        <w:rPr>
          <w:caps w:val="false"/>
          <w:smallCaps w:val="false"/>
        </w:rPr>
        <w:t xml:space="preserve"> </w:t>
      </w:r>
      <w:r>
        <w:rPr>
          <w:rFonts w:ascii="Times New Roman PS Std;serif" w:hAnsi="Times New Roman PS Std;serif"/>
          <w:b w:val="false"/>
          <w:i w:val="false"/>
          <w:caps w:val="false"/>
          <w:smallCaps w:val="false"/>
          <w:sz w:val="20"/>
        </w:rPr>
        <w:t>of the AIR Disclosure Letter contains a list, as of the Original Execution Date, of the jurisdiction of organization and U.S. federal income tax classification of AIR and each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claim has been made in writing by any Governmental Authority in a jurisdiction where AIR or any of its Subsidiaries do not file Tax Returns that any such entity is, or may be, subject to taxation by that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AIR nor any of its Subsidiaries has an outstanding request for a ruling or similar determination from a Governmental Authority with respect to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AIR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individually or in the aggregate, reasonably be expected to be material to AIR and its Subsidiaries, taken as a whole: (a) AIR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AIR, threatened in writing against AIR or any of its Subsidiaries; (c) there has been no release, spill, discharge or disposal of or exposure to any Hazardous Material, nor are there any other environmental conditions, in each case, that would reasonably be expected to form the basis of any Action or Order pursuant to Environmental Law involving AIR or its Subsidiaries; and (d) neither AIR nor any of its Subsidiaries has retained or assumed any liabilities or obligations that would reasonably be expected to form the basis of any Action or Order pursuant to any Environmental Law involving AIR or its Subsidiaries.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contains a true and complete list of the following types of Contracts to which AIR or any of its Subsidiaries is a party as of the Original Execution Date (such Contracts, whether or not set forth on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and including any Contract entered into after the Original Execution Date in accordance with the terms of this Agreement that would have been required to be set forth on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of the AIR Disclosure Letter if it had been entered into as of the Original Execution Date, but excluding any AIR Benefit Plan or any AIR Collective Bargaining Agreement, the “</w:t>
      </w:r>
      <w:r>
        <w:rPr>
          <w:rFonts w:ascii="Times New Roman PS Std;serif" w:hAnsi="Times New Roman PS Std;serif"/>
          <w:b w:val="false"/>
          <w:i w:val="false"/>
          <w:caps w:val="false"/>
          <w:smallCaps w:val="false"/>
          <w:sz w:val="20"/>
          <w:u w:val="single"/>
        </w:rPr>
        <w:t>AIR Material Contracts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Contracts (other than purchase orders under a master agreement or long term agreement) for the purchase of materials, supplies, goods, services, equipment or other assets pursuant to which AIR or any of its Subsidiaries would reasonably be expected to make or receive payments of more than $500,000 during any fiscal year;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joint venture Contracts, partnership arrangements or other agreements involving a sharing with any third party of profits, losses, costs or liabilities by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Contracts (A) relating to the acquisition or disposition of any assets or properties (whether by merger, sale of stock, sale of assets or otherwise) for aggregate consideration in excess of $250,000 or (B) pursuant to which any earn-out, indemnification or deferred or contingent payment obligations remain outstanding that would reasonably be expected to involve payments by or to AIR or any of its Subsidiaries of more than $250,000 after the Original Execution Date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AIR or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Contracts relating to Indebtedness (including commitments to provide Indebtedness) of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all Contracts (A) that limit, or purport to limit, in any material respect, the ability of AIR or any of its Subsidiaries or any of their respective employees to compete in any line of business or with any Person or entity (other than AIR and its Subsidiaries) or in any geographic area or during any period of time or in any customer segment, (B) that limit, or purport to limit, in any respect, the ability of any of AIR’s Affiliates (other than AIR’s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AIR or any of its Subsidiaries or (D) granting any put, call, right of first refusal, right of first negotiation, right of first offer, redemption or similar right in favor of any Person other than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all material AIR IP Agreements, except for shrink-wrap or click-wrap licenses for off-the-shelf computer software or non-exclusive licenses to or from customers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Contract between or among (A) AIR or any of its Subsidiaries, on the one hand, and (B) any Affiliate, employee, shareholder, member, equityholder, officer or director of AIR or of any Subsidiary, or any of their respective Affiliates or, to the knowledge of AIR, family members, on the other hand, but excluding, for the avoidance of doubt, (I) any Contracts or arrangements between AIR and any of its Subsidiaries or between any Subsidiary of AIR and another Subsidiary of AIR, (II) any Contract or arrangement relating to the employment of any such Person described in clause (B) and (III) any Contract providing for indemnification or reimbursement of expenses for officers or directors of AIR or any of its Subsidiaries (in such individual capacity as such);</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all Contracts involving the settlement of any Action pursuant to which AIR or any of its Subsidiaries has any ongoing material obligations (other than customary confidentiality obligations);</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(ix)        all Contracts (not covered by any of the other clauses in this </w:t>
      </w:r>
      <w:r>
        <w:rPr>
          <w:rFonts w:ascii="Times New Roman PS Std;serif" w:hAnsi="Times New Roman PS Std;serif"/>
          <w:b w:val="false"/>
          <w:i w:val="false"/>
          <w:caps w:val="false"/>
          <w:smallCaps w:val="false"/>
          <w:sz w:val="20"/>
          <w:u w:val="single"/>
        </w:rPr>
        <w:t>Section 4.17(a)</w:t>
      </w:r>
      <w:r>
        <w:rPr>
          <w:rFonts w:ascii="Times New Roman PS Std;serif" w:hAnsi="Times New Roman PS Std;serif"/>
          <w:b w:val="false"/>
          <w:i w:val="false"/>
          <w:caps w:val="false"/>
          <w:smallCaps w:val="false"/>
          <w:sz w:val="20"/>
        </w:rPr>
        <w:t>) requiring aggregate payments in excess of $250,000 that cannot be canceled by AIR or any of its Subsidiaries without penalty or without more than 90 days’ notice;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all Contracts that limit in any material respect the research, development, manufacture, distribution, sale, supply, license, marketing or manufacturing of products (including products under development) or services of AIR or any of its Subsidiaries;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AIR Government Contracts (other than purchase orders under a master agreement or long term agreement) pursuant to which AIR or any of its Subsidiaries would reasonably be expected to make or receive aggregate payments of more than $250,000 during the remaining term of any such AIR Government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individually or in the aggregate, reasonably be expected to have an AIR Material Adverse Effect, each AIR Material Contract is in full force and effect and is legal, valid, binding and enforceable in accordance with its terms against AIR and its Subsidiaries (as applicable) and, to the knowledge of AIR, the other parties thereto. True and complete copies of each AIR Material Contract (and a written summary of the terms of any oral AIR Material Contracts) have been made available to Tenax. None of AIR, any of its Subsidiaries or, to the knowledge of AIR, any other party thereto is in material violation of or in material default under (nor does there exist any condition that, upon the passage of time or the giving of notice or both, would cause such a violation of or default under) any AIR Material Contract to which it is a party or by which it or any of its properties or other assets is bound, nor have any of them given or received any notice alleging any of the same. Immediately following the Effective Time, each AIR Material Contract will continue to be in full force and effect and valid, binding and enforceable in accordance with its terms against AIR and its Subsidiaries (as applicable) and, to the knowledge of AIR, the other parties thereto, except as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AIR, no Affiliate, employee, shareholder, member, equityholder, officer or director of AIR or of any Subsidiary, or any of their respective Affiliates or, to the knowledge of AIR, family members, has any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has not had and would not reasonably be expected to have, individually or in the aggregate, an AIR Material Adverse Effect, all insurance policies and all self-insurance programs and arrangements relating to the business, assets and operations of AIR and its Subsidiaries are in full force and effect, and all premiums thereon have been timely paid or, if not yet due, accrued. As of the Original Execution Date, there is no material claim pending under AIR’s or any of its Subsidiaries’ insurance policies or fidelity bonds as to which coverage has been questioned, denied or disputed by the underwriters of such policies or bonds. AIR and its Subsidiaries are in compliance in all material respects with the terms of such policies and bonds, and AIR has no knowledge of any threatened termination of, or material premium increase with respect to, any of such policies or bonds.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xml:space="preserve">. No broker, finder, financial advisor or investment banker (other than KippsDeSanto &amp; Co.) is entitled to any brokerage, finder’s or other fee or commission in connection with the Transactions based upon arrangements made by or on behalf of AIR. The fees and expenses of all accountants, brokers, financial advisors, investment bankers (including KippsDeSanto &amp; Co.), legal counsel and other Persons retained by AIR or any of its Subsidiaries incurred or to be incurred by AIR or any of its Subsidiaries in connection with this Agreement or the Transactions will not exceed the amount set forth in </w:t>
      </w:r>
      <w:r>
        <w:rPr>
          <w:rFonts w:ascii="Times New Roman PS Std;serif" w:hAnsi="Times New Roman PS Std;serif"/>
          <w:b w:val="false"/>
          <w:i w:val="false"/>
          <w:caps w:val="false"/>
          <w:smallCaps w:val="false"/>
          <w:sz w:val="20"/>
          <w:u w:val="single"/>
        </w:rPr>
        <w:t>Section 4.19</w:t>
      </w:r>
      <w:r>
        <w:rPr>
          <w:caps w:val="false"/>
          <w:smallCaps w:val="false"/>
        </w:rPr>
        <w:t xml:space="preserve"> </w:t>
      </w:r>
      <w:r>
        <w:rPr>
          <w:rFonts w:ascii="Times New Roman PS Std;serif" w:hAnsi="Times New Roman PS Std;serif"/>
          <w:b w:val="false"/>
          <w:i w:val="false"/>
          <w:caps w:val="false"/>
          <w:smallCaps w:val="false"/>
          <w:sz w:val="20"/>
        </w:rPr>
        <w:t>of the AIR Disclosure Letter.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val="false"/>
          <w:caps w:val="false"/>
          <w:smallCaps w:val="false"/>
          <w:sz w:val="20"/>
          <w:u w:val="single"/>
        </w:rPr>
        <w:t>Government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individually or in the aggregate, have, or reasonably be expected to have, an AIR Material Adverse Effect, since January 1, 2023: (i) AIR and its Subsidiaries have complied with all terms and conditions of the AIR Government Contracts; (ii) AIR and its Subsidiaries have complied in all respects with all applicable Laws pertaining to each AIR Government Contract or AIR Government Bid; (iii) neither AIR nor its Subsidiaries have received written (or, to the knowledge of AIR, oral) notice of a cancellation, termination for convenience, termination for default, suspensions or stop work orders (specifically excluding (A) suspensions or stop work orders relating to protests filed in connection with the award of an AIR Government Contract to AIR or any of its Subsidiaries or (B) suspensions or stop work orders initiated by a Governmental Authority that apply to all counterparties to similar AIR Government Contracts and not specific to AIR or any of its Subsidiaries), cure notice, violation of Law, violation of an AIR Government Contract or show cause notice, and no such notice is currently proposed or, to the knowledge of AIR, threatened in writing, pertaining to such AIR Government Contract; (iv) no cost incurred by AIR or any of its Subsidiaries pertaining to such AIR Government Contract has been challenged, disallowed or is the subject of any ongoing audit or is subject to an ongoing investigation, with the exception of routine audits conducted in the ordinary course of business; (v) neither AIR nor any of its Subsidiaries has been informed by a Governmental Authority that any option with respect to such AIR Government Contract will not be exercised or that any AIR Government Contract will be terminated, canceled, subject to reduction or will otherwise come to an end prior to the end of its current period of performance; and (vi) the submissions, representations, certifications and warranties made, acknowledged or set forth by AIR and its Subsidiaries with respect to the AIR Government Contracts and AIR Government Bids were true, complete and correct in all material respects as of their effective date, AIR and its Subsidiaries have complied with all such certifications and all such representations and certifications have continued to be current and materially accurate and complete to the extent required by the terms of an AIR Government Contract or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Neither AIR nor its Subsidiaries have received any written or, to the knowledge of AIR, oral notice that any officer, employee, consultant or agent of AIR or its Subsidiaries is, or since January 1, 2023, has been, under administrative, civil or criminal investigation or indictment by any Governmental Authority (A) relating to the performance of his or her duties for AIR or its Subsidiaries or (B) that would reasonably be expected to have, individually or in the aggregate, an AIR Material Adverse Effect; (ii) to the knowledge of AIR, there is not pending any investigation of AIR, its Subsidiaries or its officers, employees, consultants or agents, nor since January 1, 2023, has there been any audit or investigation of AIR, its Subsidiaries or its officers, employees, consultants or agents resulting in a material adverse finding with respect to any alleged irregularity, misstatement or omission arising under or relating to any AIR Government Contract; (iii) since January 1, 2023, neither AIR nor its Subsidiaries have made or been required to make any voluntary or mandatory disclosure to any Governmental Authority with respect to any alleged irregularity, unlawful conduct, misstatement, significant overpayment or omission arising under or relating to an AIR Government Contract; (iv) since January 1, 2023, neither AIR nor its Subsidiaries have received any written (or, to the knowledge of AIR,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an AIR Government Contract; (v) neither AIR nor its Subsidiaries have received any written (or, to the knowledge of AIR,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an AIR Government Contract; (vi) neither AIR nor its Subsidiaries have received written document requests, subpoenas, search warrants or civil investigative demands addressed to or requesting information involving AIR, its Subsidiaries or any of its members, managers, officers, employees or affiliates, in connection with or concerning any information related to an AIR Government Contract; (vii) to the knowledge of AIR, neither AIR nor its Subsidiaries nor any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officers, managers, directors or employees has been under any administrative, civil or criminal investigation or indictment or criminal information involving alleged false statements, false claims or other improprieties or criminal acts relating to any AIR Government Contract; (viii) neither AIR nor its Subsidiaries, nor, to the knowledge of AIR, any of their respective officers or employees, has been the subject of any actual “whistleblower” or “qui tam” lawsuit; or (ix) to the knowledge of AIR,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an AIR Government Contract.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val="false"/>
          <w:caps w:val="false"/>
          <w:smallCaps w:val="false"/>
          <w:sz w:val="20"/>
          <w:u w:val="single"/>
        </w:rPr>
        <w:t>Prohibited Payments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None of AIR, any of its Subsidiaries, any of their respective officers or employees and, to the knowledge of AIR, any supplier, distributor, licensee or agent or any other Person acting on behalf of AIR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 PS Std;serif" w:hAnsi="Times New Roman PS Std;serif"/>
          <w:b w:val="false"/>
          <w:i w:val="false"/>
          <w:caps w:val="false"/>
          <w:smallCaps w:val="false"/>
          <w:sz w:val="20"/>
          <w:u w:val="single"/>
        </w:rPr>
        <w:t>Anti-Corruption Laws</w:t>
      </w:r>
      <w:r>
        <w:rPr>
          <w:caps w:val="false"/>
          <w:smallCaps w:val="false"/>
        </w:rPr>
        <w:t>”</w:t>
      </w:r>
      <w:r>
        <w:rPr>
          <w:rFonts w:ascii="Times New Roman PS Std;serif" w:hAnsi="Times New Roman PS Std;serif"/>
          <w:b w:val="false"/>
          <w:i w:val="false"/>
          <w:caps w:val="false"/>
          <w:smallCaps w:val="false"/>
          <w:sz w:val="20"/>
        </w:rPr>
        <w:t>),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AIR nor any of its Subsidiaries has received any written or, to the knowledge of AIR, other communication from any Governmental Authority regarding any material violation of, or failure to comply with, any Anti-Corruption Laws or, to the knowledge of AIR, is the subject of any internal complaint, audit or review process regarding a material violation of, or failure to comply with, any Anti-Corruption Laws. Since January 1, 2023, neither AIR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an AIR Material Adverse Effect. To the knowledge of AIR, (x) none of the directors, officers, employees or agents of AIR or any of its Subsidiaries is a government official, political party official or candidate for political office and (y) there are no known familial relationships between any of AIR’s directors, officers, employees or agents, on the one hand, and any government official, political party official or candidate for political office,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operations of AIR and its Subsidiaries are and have been conducted at all times in compliance in all material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 PS Std;serif" w:hAnsi="Times New Roman PS Std;serif"/>
          <w:b w:val="false"/>
          <w:i w:val="false"/>
          <w:caps w:val="false"/>
          <w:smallCaps w:val="false"/>
          <w:sz w:val="20"/>
          <w:u w:val="single"/>
        </w:rPr>
        <w:t>Money Laundering Laws</w:t>
      </w:r>
      <w:r>
        <w:rPr>
          <w:caps w:val="false"/>
          <w:smallCaps w:val="false"/>
        </w:rPr>
        <w:t>”</w:t>
      </w:r>
      <w:r>
        <w:rPr>
          <w:rFonts w:ascii="Times New Roman PS Std;serif" w:hAnsi="Times New Roman PS Std;serif"/>
          <w:b w:val="false"/>
          <w:i w:val="false"/>
          <w:caps w:val="false"/>
          <w:smallCaps w:val="false"/>
          <w:sz w:val="20"/>
        </w:rPr>
        <w:t>) and of the United States Foreign Corrupt Practices Act. No action, claim, suit or proceeding by or before any Governmental Authority involving AIR or any of its Subsidiaries with respect to the Money Laundering Laws is pending or, to the knowledge of AIR, threatened, nor, to the knowledge of AIR, is any investigation by or before any Governmental Authority involving AIR or any of its Subsidiaries with respect to the Money Laundering Laws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None of AIR, any of its Subsidiaries or, to the knowledge of AIR, any of their respective Representatives or Affiliates (nor, to the knowledge of AIR, any Person or entity acting on behalf of any of the foregoing) is currently a Person that is, or is owned or controlled by a Person that is (“</w:t>
      </w:r>
      <w:r>
        <w:rPr>
          <w:rFonts w:ascii="Times New Roman PS Std;serif" w:hAnsi="Times New Roman PS Std;serif"/>
          <w:b w:val="false"/>
          <w:i w:val="false"/>
          <w:caps w:val="false"/>
          <w:smallCaps w:val="false"/>
          <w:sz w:val="20"/>
          <w:u w:val="single"/>
        </w:rPr>
        <w:t>Sanctioned Person</w:t>
      </w:r>
      <w:r>
        <w:rPr>
          <w:caps w:val="false"/>
          <w:smallCaps w:val="false"/>
        </w:rPr>
        <w:t>”</w:t>
      </w:r>
      <w:r>
        <w:rPr>
          <w:rFonts w:ascii="Times New Roman PS Std;serif" w:hAnsi="Times New Roman PS Std;serif"/>
          <w:b w:val="false"/>
          <w:i w:val="false"/>
          <w:caps w:val="false"/>
          <w:smallCaps w:val="false"/>
          <w:sz w:val="20"/>
        </w:rPr>
        <w:t>), (i) the subject or the target of any sanctions administered or enforced by the United States Government (including, without limitation, the Office of Foreign Assets Control of the U.S. Department of the Treasury or the U.S. Department of State), the United Nations Security Council, the European Union or His Majesty’s Treasury (collectively, “</w:t>
      </w:r>
      <w:r>
        <w:rPr>
          <w:rFonts w:ascii="Times New Roman PS Std;serif" w:hAnsi="Times New Roman PS Std;serif"/>
          <w:b w:val="false"/>
          <w:i w:val="false"/>
          <w:caps w:val="false"/>
          <w:smallCaps w:val="false"/>
          <w:sz w:val="20"/>
          <w:u w:val="single"/>
        </w:rPr>
        <w:t>Sanctions</w:t>
      </w:r>
      <w:r>
        <w:rPr>
          <w:caps w:val="false"/>
          <w:smallCaps w:val="false"/>
        </w:rPr>
        <w:t>”</w:t>
      </w:r>
      <w:r>
        <w:rPr>
          <w:rFonts w:ascii="Times New Roman PS Std;serif" w:hAnsi="Times New Roman PS Std;serif"/>
          <w:b w:val="false"/>
          <w:i w:val="false"/>
          <w:caps w:val="false"/>
          <w:smallCaps w:val="false"/>
          <w:sz w:val="20"/>
        </w:rPr>
        <w:t xml:space="preserve">) or (ii) located, organized or resident in a country or territory subject to comprehensive Sanctions. AIR and its Subsidiaries have conducted their transactions in material compliance with all applicable Sanctions. No action, claim, suit or proceeding by or before any Governmental Authority involving AIR or any of its Subsidiaries with respect to any Sanctions is pending or, to the knowledge of AIR, threatened, nor, to the knowledge of AIR,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investigation by or before any Governmental Authority involving AIR or any of its Subsidiaries with respect to any Sanctions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AIR and its Subsidiaries have conducted their transactions in material compliance with all applicable export and re-export control Laws, including the International Traffic in Arms Regulations and the Export Administration Regulations (collectively, “</w:t>
      </w:r>
      <w:r>
        <w:rPr>
          <w:rFonts w:ascii="Times New Roman PS Std;serif" w:hAnsi="Times New Roman PS Std;serif"/>
          <w:b w:val="false"/>
          <w:i w:val="false"/>
          <w:caps w:val="false"/>
          <w:smallCaps w:val="false"/>
          <w:sz w:val="20"/>
          <w:u w:val="single"/>
        </w:rPr>
        <w:t>Export Control Laws</w:t>
      </w:r>
      <w:r>
        <w:rPr>
          <w:caps w:val="false"/>
          <w:smallCaps w:val="false"/>
        </w:rPr>
        <w:t>”</w:t>
      </w:r>
      <w:r>
        <w:rPr>
          <w:rFonts w:ascii="Times New Roman PS Std;serif" w:hAnsi="Times New Roman PS Std;serif"/>
          <w:b w:val="false"/>
          <w:i w:val="false"/>
          <w:caps w:val="false"/>
          <w:smallCaps w:val="false"/>
          <w:sz w:val="20"/>
        </w:rPr>
        <w:t>). No licenses or approvals pursuant to the Export Control Laws are necessary for the transfer of any export licenses or other export approvals to Tenax in connection with the consummation of the Transactions, including the Merger, except for any such licenses or approvals the failure of which to obtain would not, individually or in the aggregate, reasonably be expected to have an AIR Material Adverse Effect. No action, claim, suit or proceeding by or before any Governmental Authority involving AIR or any of its Subsidiaries with respect to the Export Control Laws is pending or, to the knowledge of AIR, threatened, nor, to the knowledge of AIR, is any investigation by or before any Governmental Authority involving AIR or any of its Subsidiaries with respect to the Export Control Laws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AIR has and has implemented policies and procedures reasonably designed to ensure compliance with the Anti-Corruption Laws, Money Laundering Laws, Sanctions and Export Control Laws.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val="false"/>
          <w:caps w:val="false"/>
          <w:smallCaps w:val="false"/>
          <w:sz w:val="20"/>
          <w:u w:val="single"/>
        </w:rPr>
        <w:t>Rights Agreement; State Takeover Statutes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AIR is not party to any rights agreement, “poison pill” or similar agreement or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Board has unanimously approved the terms of this Agreement and the consummation of the Transactions, including the AIR Stock Issuance, and such approval is sufficient to render inapplicable to this Agreement, the other Transaction Documents to which AIR is a party and the Transactions, including the Merger, the restrictions on “business combinations” set forth in NRS 78.411-78.444, to the extent such restrictions would otherwise be applicable to this Agreement, any of the other Transaction Documents to which AIR is a party or the Transactions, including the Merger. No “business combination”, “control share acquisition”, “fair price”, “moratorium” or other anti-takeover or similar Laws (including NRS 78.411-78.444, inclusive, and NRS 78.378-78.3793, inclusive) apply to this Agreement, any of the other Transaction Documents to which AIR is a party (including the Redemption Rights Agreement and the Registration Rights Agreement) or the Transactions, including the Merger. AIR and its Subsidiaries are not subject to Section 2115(b) of the California Corporations Code.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AIR has received an oral opinion from KippsDeSanto &amp; Co., to be confirmed by delivery of a written opinion, that, as of the date of such opinion and based upon and subject to the various assumptions, qualifications, limitations and other matters set forth therein, the Redemption Price (as specified therein) is fair, from a financial point of view, to the holders of AIR Common Stock.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val="false"/>
          <w:caps w:val="false"/>
          <w:smallCaps w:val="false"/>
          <w:sz w:val="20"/>
          <w:u w:val="single"/>
        </w:rPr>
        <w:t>No Implied Representations and Warranties</w:t>
      </w:r>
      <w:r>
        <w:rPr>
          <w:rFonts w:ascii="Times New Roman PS Std;serif" w:hAnsi="Times New Roman PS Std;serif"/>
          <w:b w:val="false"/>
          <w:i w:val="false"/>
          <w:caps w:val="false"/>
          <w:smallCaps w:val="false"/>
          <w:sz w:val="20"/>
        </w:rPr>
        <w:t xml:space="preserve">. The representations and warranties of AIR and Merger Sub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constitute the sole and exclusive representations and warranties of AIR and Merger Sub to Tenax in connection with the Transactions, and all other representations and warranties of any kind or nature expressed or implied (including, but not limited to, the future or historical financial condition, results of operations, prospects, business, assets or liabilities of AIR and Merger Sub), whether made by AIR or Merger Sub, any of their respective Affiliates or any of their respective managers, partners, officers, directors, employees, advisors, consultants, agents or representatives, whether in any individual or any other capacity, are specifically disclaimed by Tenax, and Tenax acknowledges that it has not relied on and should not rely on and will not rely on any such other representations and warranties other than the representations and warranties of AIR or Merger Sub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Except for the representations and warranties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or in any certificate delivered pursuant to this Agreement, no exhibit to this Agreement, nor any other material or information provided by or communications made by AIR, Merger Sub or any of their respective Affiliates, or by any Representative thereof, whether by use of a “data room” or in any information memorandum or otherwise, will cause or create any warranty, express or implied, as to the title, condition, value or quality of AIR, Merger Sub and their respective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Tenax represents and warrants to AIR and Merger Sub that, except as set forth in the Tenax Disclosure Letter (it being understood that any information, item or matter set forth in one section or subsection of the Tenax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only items disclosed in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5.07</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shall be deemed disclosed with respect to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5.07</w:t>
      </w:r>
      <w:r>
        <w:rPr>
          <w:rFonts w:ascii="Times New Roman PS Std;serif" w:hAnsi="Times New Roman PS Std;serif"/>
          <w:b w:val="false"/>
          <w:i w:val="false"/>
          <w:caps w:val="false"/>
          <w:smallCaps w:val="false"/>
          <w:sz w:val="20"/>
        </w:rPr>
        <w:t>, respectively):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Tenax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Tenax’s Subsidiaries, where the failure to be in good standing or to have such power, authority and governmental authorizations and approvals would not, individually or in the aggregate, reasonably be expected to have a Tenax Material Adverse Effect and (ii) with respect to Tenax, where the failure to possess such governmental authorizations and approvals would not, individually or in the aggregate, reasonably be expected to have a Tenax Material Adverse Effect. Each of Tenax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5.01(b)</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and complete list of each material Subsidiary of Tenax, the jurisdiction of incorporation or formation of each such Subsidiary and the ownership interest of Tenax and any third parties in each such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Tenax has made available to AIR, prior to the execution of this Agreement, a true and complete copy of Tenax’s certificate of formation, limited liability company agreement and the equivalent organizational documents of each of its material Subsidiaries, in each case, as amended to the date of this Agreement. Such organizational documents are in full force and effect. Neither Tenax nor any of its Subsidiaries is in violation of any of the provisions of its organizational documents.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5.02(a)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correct and complete list of all of the authorized, issued and outstanding equity interests of Tenax. There are no authorized, issued, reserved for issuance or outstanding (i) shares of capital stock, voting securities or other equity interests of Tenax; (ii) options, calls, warrants, convertible debt, other convertible or exchangeable instruments or rights, agreements, arrangements or commitments of any character made or issued by Tenax or any of its Subsidiaries obligating Tenax or any of its Subsidiaries to issue, deliver or sell any shares of capital stock, voting securities or other equity interests of Tenax or any of its Subsidiaries other than the Warrants; or (iii) “phantom” stock, “phantom” stock rights, stock appreciation rights, stock-based units or any other similar interests issued by Tenax or any of its Subsidiaries, or rights to acquire such interests from Tenax or any Subsidiary. All Tenax Units are subject to issuance as aforesaid and, upon issuance on the terms and conditions specified in the instruments pursuant to which they are issuable, will be, and each outstanding Tenax Unit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Tenax or any agreement to which Tenax is a party or otherwise bound; and (iii) free of any Encumbrances created by Tenax in respect thereof. There are no outstanding contractual obligations of Tenax or any of its Subsidiaries to repurchase, redeem or otherwise acquire any capital stock, voting securities or other equity interests or securities convertible into or exchangeable or exercisable for capital stock, voting securities or other equity interests of Tenax or any of its Subsidiaries or to provide funds to, or make any investment (in the form of a loan, capital contribution or otherwise) in, any Subsidiary of Tenax or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outstanding share of capital stock of, or other equity interests in, each Subsidiary of Tenax is duly authorized, validly issued, fully paid and non-assessable; each such share or interest is owned by Tenax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Tenax or any Subsidiary is a party or otherwise bound. Except for the capital stock of, or other equity interest in, its Subsidiaries, Tenax does not own, directly or indirectly, any capital stock of, or other equity or similar interest in, any corporation, partnership, joint venture, association or other entity.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Tenax Closing Capitalization Schedule will, as of the Closing Date, be true and complete in all respects and the amounts set forth therein will be calculated pursuant to and in accordance with this Agreement, Tenax’s organizational documents and any applicable Plan. As of the Closing, (i) the number of Tenax Units set forth in the Tenax Closing Capitalization Schedule as being owned by a Person will constitute to the entire interest of such Person in the issued and outstanding capital stock of, or any other equity or ownership interests in, Tenax, and record ownership of such Tenax Units set forth in the Tenax Closing Capitalization Schedule is held by such Person and (ii) no Person not disclosed in the Tenax Closing Capitalization Schedule will be the record owner of, or have a right to acquire from Tenax any equity or ownership interests in, Tenax or options in respect of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5.03        </w:t>
      </w:r>
      <w:r>
        <w:rPr>
          <w:rFonts w:ascii="Times New Roman PS Std;serif" w:hAnsi="Times New Roman PS Std;serif"/>
          <w:b w:val="false"/>
          <w:i w:val="false"/>
          <w:caps w:val="false"/>
          <w:smallCaps w:val="false"/>
          <w:sz w:val="20"/>
          <w:u w:val="single"/>
        </w:rPr>
        <w:t>Authority Relative to This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has all necessary organizational power and authority to execute and deliver this Agreement and the other Transaction Documents to which it is a party, to perform its obligations hereunder and thereunder to consummate the Transactions. The execution and delivery of this Agreement and such other Transaction Documents by Tenax and the consummation by Tenax of the Transactions have been duly and validly authorized by all necessary organizational action, and no other proceedings on the part of Tenax are necessary to authorize this Agreement and such other Transaction Documents or to consummate the Transactions (other than, with respect to the Merger, the filing of the Certificate of Merger with the Secretary of State of the State of Delaware as required by the DLLCA). This Agreement has been duly and validly executed and delivered by Tenax and, assuming due authorization, execution and delivery by AIR and Merger Sub, constitutes a legal,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Consenting Tenax Members are the record and beneficial owners of, in the aggregate, interests of Tenax Units entitled to cast votes constituting at least a majority of the votes entitled to be cast on the approval of this Agreement by Tenax Members as of the date hereof. The Tenax Member Support Agreements constitute, alone and without any other vote or consent of any other Tenax Member, the Required Tenax Member Approval.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execution and delivery of this Agreement and the other Transaction Documents to which it is a party by Tenax do not, and the performance of this Agreement and such other Transaction Documents by Tenax, and the consummation of the Transactions, will not, (i) conflict with or violate the limited liability company agreement or other equivalent organizational documents of (A) Tenax or (B) any of its Subsidiaries, (ii) assuming all consents, approvals, authorizations and other actions described in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or taken and all filings and obligations described in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have been made or satisfied, conflict with or violate any Law applicable to Tenax or any of its Subsidiaries or by which any property or asset of Tenax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Tenax or any of its Subsidiaries pursuant to, any Contract, Tenax Permit or other instrument or obligation to which Tenax or any of its Subsidiaries is a party or by which Tenax or any of its Subsidiaries or any of their respective assets or properties is bound or affected, except, with respect to clauses (i)(B), (ii) and (iii) of this </w:t>
      </w:r>
      <w:r>
        <w:rPr>
          <w:rFonts w:ascii="Times New Roman PS Std;serif" w:hAnsi="Times New Roman PS Std;serif"/>
          <w:b w:val="false"/>
          <w:i w:val="false"/>
          <w:caps w:val="false"/>
          <w:smallCaps w:val="false"/>
          <w:sz w:val="20"/>
          <w:u w:val="single"/>
        </w:rPr>
        <w:t>Section 5.04(a)</w:t>
      </w:r>
      <w:r>
        <w:rPr>
          <w:rFonts w:ascii="Times New Roman PS Std;serif" w:hAnsi="Times New Roman PS Std;serif"/>
          <w:b w:val="false"/>
          <w:i w:val="false"/>
          <w:caps w:val="false"/>
          <w:smallCaps w:val="false"/>
          <w:sz w:val="20"/>
        </w:rPr>
        <w:t>, for any such conflicts, violations, breaches, defaults or other occurrences which would not, individually or in the aggregate, reasonably be expected to have a Tenax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execution and delivery of this Agreement and the other Transaction Documents to which it is a party by Tenax do not, and the performance of this Agreement and such other Transaction Documents by Tenax, and the consummation of the Transactions, will not, require any consent, approval, authorization or permit of, or filing with or notification to, any Governmental Authority, except (i) for applicable requirements, if any, of the Securities Act (including in connection with the Registration Statement) and the Exchange Act, (ii) the pre-merger notification requirements of the HSR Act, the requirements of any other applicable Antitrust Laws and the filing of the Certificate of Merger with the Secretary of State of the State of Delaware as required by the DLLCA and (iii) such other consents, approvals, orders, authorizations, registrations, declarations, transfers, waivers, disclaimers and filings, the failure of which to be obtained or made would not, individually or in the aggregate, reasonably be expected to have a Tenax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5.05        </w:t>
      </w:r>
      <w:r>
        <w:rPr>
          <w:rFonts w:ascii="Times New Roman PS Std;serif" w:hAnsi="Times New Roman PS Std;serif"/>
          <w:b w:val="false"/>
          <w:i w:val="false"/>
          <w:caps w:val="false"/>
          <w:smallCaps w:val="false"/>
          <w:sz w:val="20"/>
          <w:u w:val="single"/>
        </w:rPr>
        <w:t>Permits; Compliance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Tenax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Tenax nor any of its Subsidiaries has received any written notice alleging, or been charged with, any material violation of any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Tenax and each of its Subsidiaries have obtained and hold all Tenax Permits, and all such Tenax Permits are valid and in full force and effect, except where the failure to hold the same or to be in full force and effect would not, individually or in the aggregate, reasonably be expected to have a Tenax Material Adverse Effect. In addition, (i) there has occurred no default under, or violation of, any such Tenax Permit, (ii) no suspension or cancellation of any of the Tenax Permits is pending or, to the knowledge of Tenax, threatened and (iii) Tenax has taken all measures reasonably necessary (including by making all applications or filings required by applicable Law or the applicable Governmental Authority) to extend any Tenax Permit to prevent the expiration thereof, in each case, except as would not, individually or in the aggregate, reasonably be expected to have a Tenax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5.06        </w:t>
      </w:r>
      <w:r>
        <w:rPr>
          <w:rFonts w:ascii="Times New Roman PS Std;serif" w:hAnsi="Times New Roman PS Std;serif"/>
          <w:b w:val="false"/>
          <w:i w:val="false"/>
          <w:caps w:val="false"/>
          <w:smallCaps w:val="false"/>
          <w:sz w:val="20"/>
          <w:u w:val="single"/>
        </w:rPr>
        <w:t>Financial Statements; Undisclosed 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5.06(a)</w:t>
      </w:r>
      <w:r>
        <w:rPr>
          <w:caps w:val="false"/>
          <w:smallCaps w:val="false"/>
        </w:rPr>
        <w:t xml:space="preserve"> </w:t>
      </w:r>
      <w:r>
        <w:rPr>
          <w:rFonts w:ascii="Times New Roman PS Std;serif" w:hAnsi="Times New Roman PS Std;serif"/>
          <w:b w:val="false"/>
          <w:i w:val="false"/>
          <w:caps w:val="false"/>
          <w:smallCaps w:val="false"/>
          <w:sz w:val="20"/>
        </w:rPr>
        <w:t>of the Tenax Disclosure Letter contains true, complete and correct copies of the audited consolidated balance sheets and related statements of income, members’ equity and cash flows of Tenax and its consolidated Subsidiaries as of and for the years ended December 31, 2024 and 2023 and the unaudited consolidated balance sheet and related statements of income, members’ equity and cash flows of Tenax and its consolidated Subsidiaries as of and for the nine months ended September 30, 2025 (collectively, with the related notes and schedules thereto, the “</w:t>
      </w:r>
      <w:r>
        <w:rPr>
          <w:rFonts w:ascii="Times New Roman PS Std;serif" w:hAnsi="Times New Roman PS Std;serif"/>
          <w:b w:val="false"/>
          <w:i w:val="false"/>
          <w:caps w:val="false"/>
          <w:smallCaps w:val="false"/>
          <w:sz w:val="20"/>
          <w:u w:val="single"/>
        </w:rPr>
        <w:t>Tenax Financial Statements</w:t>
      </w:r>
      <w:r>
        <w:rPr>
          <w:caps w:val="false"/>
          <w:smallCaps w:val="false"/>
        </w:rPr>
        <w:t>”</w:t>
      </w:r>
      <w:r>
        <w:rPr>
          <w:rFonts w:ascii="Times New Roman PS Std;serif" w:hAnsi="Times New Roman PS Std;serif"/>
          <w:b w:val="false"/>
          <w:i w:val="false"/>
          <w:caps w:val="false"/>
          <w:smallCaps w:val="false"/>
          <w:sz w:val="20"/>
        </w:rPr>
        <w:t>), in each case, prepared in accordance with GAAP applied on a consistent basis throughout the periods indicated (except as may be indicated in the notes thereto and subject, in the case of interim financial statements, to the absence of footnotes and normal year-end adjustments) and each fairly presents, in all material respects, the consolidated financial condition, results of operations, changes in members’ equity and cash flows of Tenax and its consolidated Subsidiaries as of the respective dates thereof and for the respective periods indicated therein (subject, in the case of interim financial statements, to the absence of footnotes and normal year-end adjustments).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Tenax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Tenax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Neither Tenax nor any of its Subsidiaries has any liabilities or obligations of any nature (whether accrued, absolute, contingent or otherwise), except liabilities (i) reflected or reserved against in the consolidated balance sheet (or the notes thereto) of Tenax as of December 31, 2024, included in the Tenax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Tenax of this Agreement shall not be deemed a liability incurred in connection with the negotiation, execution, delivery or performance of, or pursuant to the terms of, this Agreement) or (iv) that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none of Tenax, Tenax’s independent accountants or the Tenax Board has received any written, or to the knowledge of Tenax, oral notification of any (i) “significant deficiency” in the internal controls over financial reporting of Tenax; (ii) “material weakness” in the internal controls over financial reporting of Tenax; or (iii) fraud, whether or not material, that involves management or other employees of Tenax who have a significant role in the internal controls over financial reporting of Tenax. Since January 1, 2023, there have been no material internal investigations regarding accounting, auditing or revenue recognition discussed with, reviewed by or initiated at the direction of the President or Chief Financial Officer of Tenax or the Tenax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(i) neither Tenax nor any of its Subsidiaries has received any written or, to the knowledge of Tenax, oral complaint, allegation, assertion or claim regarding accounting, internal accounting controls or auditing practices, procedures, methodologies or methods of Tenax or any of its Subsidiaries, or unlawful accounting or auditing matters with respect to Tenax or any of its Subsidiaries, and (ii) no attorney representing Tenax or any of its Subsidiaries, whether or not employed by Tenax or any of its Subsidiaries, has reported evidence of a breach of fiduciary duty or similar violation by Tenax or any of its Subsidiaries or any of their respective officers, directors, employees or agents to the Tenax Board or any committee thereof or to the President or Chief Financial Officer of Tenax, except as, in each of (i) and (ii), has not had and would not, individually or in the aggregate, reasonably be expected to have a Tenax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5.07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 Tenax Material Adverse Effect. From December 31, 2024 to the Original Execution Date, (a) Tenax and its Subsidiaries have conducted their businesses in all material respects in the ordinary course and in a manner consistent with past practice and (b) neither Tenax nor any of its Subsidiaries has taken any action that, if taken after the Original Execution Date, would constitute a breach of any of the covenants set forth in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(with the exception of those set forth in </w:t>
      </w:r>
      <w:r>
        <w:rPr>
          <w:rFonts w:ascii="Times New Roman PS Std;serif" w:hAnsi="Times New Roman PS Std;serif"/>
          <w:b w:val="false"/>
          <w:i w:val="false"/>
          <w:caps w:val="false"/>
          <w:smallCaps w:val="false"/>
          <w:sz w:val="20"/>
          <w:u w:val="single"/>
        </w:rPr>
        <w:t>clauses (b)(i)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(iv)</w:t>
      </w:r>
      <w:r>
        <w:rPr>
          <w:caps w:val="false"/>
          <w:smallCaps w:val="false"/>
        </w:rPr>
        <w:t xml:space="preserve"> </w:t>
      </w:r>
      <w:r>
        <w:rPr>
          <w:rFonts w:ascii="Times New Roman PS Std;serif" w:hAnsi="Times New Roman PS Std;serif"/>
          <w:b w:val="false"/>
          <w:i w:val="false"/>
          <w:caps w:val="false"/>
          <w:smallCaps w:val="false"/>
          <w:sz w:val="20"/>
        </w:rPr>
        <w:t>(to the extent related to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relating to Tenax and its Subsidiaries that is provided by or on behalf of Tenax or any of its Subsidiaries for inclusion in the Registration Statement or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5.09        </w:t>
      </w:r>
      <w:r>
        <w:rPr>
          <w:rFonts w:ascii="Times New Roman PS Std;serif" w:hAnsi="Times New Roman PS Std;serif"/>
          <w:b w:val="false"/>
          <w:i w:val="false"/>
          <w:caps w:val="false"/>
          <w:smallCaps w:val="false"/>
          <w:sz w:val="20"/>
          <w:u w:val="single"/>
        </w:rPr>
        <w:t>Sufficiency of Funds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has sufficient financial resources and, at the Closing, will have sufficient cash and other financial resources, in each case, to enable Tenax to pay any amounts required to be paid in connection with the consummation of the Transactions and to pay all related fees and expenses, and there is no restriction on the use of such cash or other financial resources for such purposes. Tenax has the financial resources and capabilities to fully perform all of its obligations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Without limiting </w:t>
      </w:r>
      <w:r>
        <w:rPr>
          <w:rFonts w:ascii="Times New Roman PS Std;serif" w:hAnsi="Times New Roman PS Std;serif"/>
          <w:b w:val="false"/>
          <w:i w:val="false"/>
          <w:caps w:val="false"/>
          <w:smallCaps w:val="false"/>
          <w:sz w:val="20"/>
          <w:u w:val="single"/>
        </w:rPr>
        <w:t>Section 10.07</w:t>
      </w:r>
      <w:r>
        <w:rPr>
          <w:rFonts w:ascii="Times New Roman PS Std;serif" w:hAnsi="Times New Roman PS Std;serif"/>
          <w:b w:val="false"/>
          <w:i w:val="false"/>
          <w:caps w:val="false"/>
          <w:smallCaps w:val="false"/>
          <w:sz w:val="20"/>
        </w:rPr>
        <w:t>, in no event shall the receipt or availability of any funds or financing by or to Tenax or any of its Affiliates or any other financing transaction be a condition to any of the obligations of Tenax 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Absence of Litigation</w:t>
      </w:r>
      <w:r>
        <w:rPr>
          <w:rFonts w:ascii="Times New Roman PS Std;serif" w:hAnsi="Times New Roman PS Std;serif"/>
          <w:b w:val="false"/>
          <w:i w:val="false"/>
          <w:caps w:val="false"/>
          <w:smallCaps w:val="false"/>
          <w:sz w:val="20"/>
        </w:rPr>
        <w:t>. There is no Action pending or, to the knowledge of Tenax, threatened (i) against or involving Tenax, any of its Subsidiaries or any of their respective assets, officers, directors or key employees (in the case of officers, directors or key employees, arising out of such officer’s, director’s or key employee’s relationship with Tenax) that, individually or in the aggregate, has or would reasonably be expected to have a Tenax Material Adverse Effect or (ii) that seeks to restrain or enjoin the consummation of the Transactions. There is not any Order of any Governmental Authority or arbitrator outstanding against, or, to the knowledge of Tenax, investigation by any Governmental Authority involving, Tenax, any of its Subsidiaries or any of their respective assets, officers, directors or key employees (in the case of such officers, directors or key employees, such as would affect Tenax or any of its Subsidiaries) that, individually or in the aggregate, has or would reasonably be expected to have a Tenax Material Adverse Effect. There is no material Action pending by Tenax or any of its Subsidiaries, or which Tenax or any of its Subsidiaries intends to initiate, against any other Person. The foregoing includes Actions pending or threatened (or any basis therefor to the knowledge of Tenax) involving the prior employment of any of the employees of Tenax or any of its Subsidiaries, services of the employees of Tenax or any of its Subsidiaries provided in connection with Tenax’s business, any information or techniques allegedly proprietary to any former employer of an employee of Tenax or any of its Subsidiaries or obligations of an employee of Tenax or any of its Subsidiaries under any agreement with such employee’s former employer.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5.11(a)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correct and complete list of each material Tenax Benefit Plan. With respect to each such material Tenax Benefit Plan, Tenax has delivered or made available to AIR true, correct and complete copies of all plan documents (including all amendments and attachments thereto), or written summaries of such Tenax Benefit Plan not in writing.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Tenax Benefit Plan has been, in all material respects, established, maintained, operated, funded and administered in accordance with its terms and all applicable Laws. Tenax and its Subsidiaries and, to the knowledge of Tenax, all fiduciaries of any Tenax Benefit Plan are, and at all times have been, in compliance in all material respects with all Laws relating to the Tenax Benefit Plans and the provision of compensation and benefits. Except as would not, individually or in the aggregate, reasonably be expected to have a Tenax Material Adverse Effect, no Action is pending or, to the knowledge of Tenax, threatened with respect to any Tenax Benefit Plan (other than claims for benefits in the ordinary course) and, to the knowledge of Tenax, there are not any facts that would be reasonably expected to give rise to any Action with respect to any Tenax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Tenax Benefit Plan that is intended to be qualified under Section 401(a) of the Code is so qualified and either has received a favorable determination letter from the IRS or may rely upon a favorable opinion letter from the IRS as to its qualified status and, to the knowledge of Tenax, there are no facts or circumstances that could reasonably be expected to adversely affect such qualification or cause the imposition of a material liability, penalty or Tax under ERISA, the Code or other applicable Laws with respect to any such Tenax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Tenax Benefit Plan is, and neither Tenax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Tenax Benefit Plan is, and neither Tenax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Neither the execution and delivery of this Agreement nor the consummation of the Transactions could (either alone or in connection with any other event, including a termination of employment or service of any current or former Tenax Service Provider following, or in connection with, the Transactions): (i) entitle any current or former Tenax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Tenax Benefit Plans; (iii) limit or restrict the right of Tenax or any of its Subsidiaries to amend, modify or terminate any of the Tenax Benefit Plans; or (iv) result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of any compensation or any benefits that would, individually or in combination with any other such compensation or benefits, constitute an “excess parachute payment”, as defined in Section 280G(b)(1) of the Code, to any current or former Tenax Service Provider.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Tenax nor any of its Subsidiaries has any liability in respect of, or obligation to provide, post-retirement or other post-employment health, life insurance or welfare benefits for any current or former Tenax Service Provider (or the spouses, dependents or beneficiaries of any such individuals), whether under a Tenax Benefit Plan or otherwise, except as required to comply with Section 4980B of the Code or any similar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No current or former Tenax Service Provider is entitled to any gross-up, make-whole, indemnification, reimbursement or other additional payment from Tenax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Tenax nor any of its Subsidiaries is a party to any Collective Bargaining Agreement applicable to any current or former Tenax Service Provider.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Tenax Service Provider and, there are no such strikes or other material labor disputes or work stoppages or campaigns, petitions or other activities ongoing, pending or, to the knowledge of Tenax, threatened. Neither the execution of this Agreement nor the consummation of the Transactions will require Tenax or any of its Subsidiaries to provide notice to, enter into any consultation procedure with, or trigger any similar obligation to, any labor organization, works council or similar body under applicable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Tenax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 Tenax Material Adverse Effect, no Action by or before any Governmental Authority with respect to Tenax or any of its Subsidiaries in relation to the employment or alleged employment of any individual is pending, ongoing or, to the knowledge of Tenax, threatened, nor has Tenax or any of its Subsidiaries received any notice indicating an intention to conduct the same.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January 1, 2023, Tenax and its Subsidiaries have not received, been involved in or been subject to any Actions or any other material complaints, claims or actions alleging sexual harassment, sexual misconduct, bullying or discrimination committed by any director, officer or other managerial employee of Tenax or any of its Subsidiaries or alleging a workplace culture that encourages or is conducive to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Real and Personal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Tenax nor any of its Subsidiaries owns any real property.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5.13(b)</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sets forth a true and complete list of the street addresses of all Tenax Leased Real Property, together with a description of the underlying Tenax Real Property Lease. True, correct and complete copies of each Tenax Real Property Lease have been made available to AIR prior to the Original Execution Date. Except as would not, individually or in the aggregate, reasonably be expected to have a Tenax Material Adverse Effect, (i) each Tenax Real Property Lease is valid and binding on Tenax or the Subsidiary of Tenax that is a party thereto and, to the knowledge of Tenax, each other party thereto, and is in full force and effect; (ii) all rent and other sums and charges payable by Tenax or any of its Subsidiaries thereunder are current and all obligations required to be performed or complied with by Tenax or any of its Subsidiaries thereunder have been performed; (iii) no termination event or condition or uncured default of a material nature on the part of Tenax or, if applicable, any of its Subsidiaries or, to the knowledge of Tenax, the landlord thereunder, exists under any Tenax Real Property Lease; (iv) Tenax and each of its Subsidiaries has a good and valid leasehold, subleasehold or licensee interest in each Tenax Leased Real Property, free and clear of all Encumbrances, except Permitted Encumbrances; (v) neither Tenax nor any of its Subsidiaries has received any written notice from any landlord under any Tenax Real Property Lease of any default or that such landlord intends to terminate such Tenax Real Property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and (vi) neither Tenax nor any of its Subsidiaries has received written notice of any pending and, to the knowledge of Tenax, there is no threatened, condemnation with respect to any Tenax Leased Real Property or any portion thereof. Tenax and its Subsidiaries have not subleased, licensed or granted any right to use or occupy any portion of any Tenax Leased Real Property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Tenax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Tenax or, if applicable, its Subsidiaries or, to the knowledge of Tenax, any Person thereunder, exists under any lease of any personal property.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5.14(a)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as of the Original Execution Date, a true and complete list of all (i) Registered Tenax IP, indicating for each such item, as applicable, the owner, the application, publication or registration number and date and jurisdiction of filing or issuance; (ii) material Software included in the Tenax Owned IP; and (iii)</w:t>
      </w:r>
      <w:r>
        <w:rPr>
          <w:caps w:val="false"/>
          <w:smallCaps w:val="false"/>
        </w:rPr>
        <w:t> </w:t>
      </w:r>
      <w:r>
        <w:rPr>
          <w:rFonts w:ascii="Times New Roman PS Std;serif" w:hAnsi="Times New Roman PS Std;serif"/>
          <w:b w:val="false"/>
          <w:i w:val="false"/>
          <w:caps w:val="false"/>
          <w:smallCaps w:val="false"/>
          <w:sz w:val="20"/>
        </w:rPr>
        <w:t>social media handles or accounts used by Tenax.</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Tenax Owned IP is subsisting and, to the knowledge of Tenax, valid and enforceable and Tenax and its Subsidiaries possess all rights, title and interests in and to the Tenax Owned IP, free and clear of any Encumbrances other than Permitted Encumbrances.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Since January 1, 2023, the operation of Tenax’s business has not infringed, misappropriated or otherwise violated the Intellectual Property of any third party, and to the knowledge of Tenax, no other Person has infringed, diluted, misappropriated or otherwise violated, or is infringing, diluting, misappropriating or otherwise violating, the Tenax IP. Since January 1, 2023, there have been no, and there are currently no, pending Actions or Actions threatened in writing regarding: (i) the licensing or use by Tenax or any of its Subsidiaries of any other Person’s Intellectual Property; (ii) any actual or potential infringement, dilution, misappropriation or other violation by any other Person of Tenax Owned IP; or (iii) any actual or potential infringement, dilution, misappropriation or other violation of any other Person’s Intellectual Property by Tenax or any of its Subsidiaries, and to the knowledge of Tenax, no valid basis exists for any Action in connection with any of the foregoing items (i) through (iii) of this </w:t>
      </w:r>
      <w:r>
        <w:rPr>
          <w:rFonts w:ascii="Times New Roman PS Std;serif" w:hAnsi="Times New Roman PS Std;serif"/>
          <w:b w:val="false"/>
          <w:i w:val="false"/>
          <w:caps w:val="false"/>
          <w:smallCaps w:val="false"/>
          <w:sz w:val="20"/>
          <w:u w:val="single"/>
        </w:rPr>
        <w:t>Section 5.14(c)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Tenax and its Subsidiaries own or have a valid right to use all Intellectual Property that is in use or planned for use in the operation or conduct of Tenax’s business, and the Tenax IP constitutes all of the Intellectual Property that is used, held for use or planned for use in the conduct of Tenax’s business in the manner in which it is currently being conducted. The consummation of this Agreement and compliance by Tenax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Tenax Owned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of Tenax and its Subsidiaries have used commercially reasonable efforts consistent with industry standards to maintain, preserve and protect the secrecy and confidentiality of their Trade Secrets and confidential information of other Persons that is in the possession of Tenax and its Subsidiaries and prevent the misuse or misappropriation of the Trade Secrets and other such confidential information included in the Tenax IP, including through the development of policies for the protection of Intellectual Property. Each current and former director, officer, employee, contractor or consultant of Tenax and its Subsidiaries has entered into a written agreement with Tenax that requires such director, officer, employee, contractor or consultant to protect the secrecy and confidentiality of such Trade Secrets and information. There has been no misappropriation or unauthorized disclosure or use of any of Tenax’s Trade Secrets or confidential information of other Persons that is in the possession of Tenax and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No current or former director, officer, employee, contractor or consultant of Tenax or its Subsidiaries owns any rights in or to any Tenax Owned IP. All current and former directors, officers, employees, contractors and consultants of Tenax and its Subsidiaries who contributed to the discovery, creation or development of any material Tenax Owned IP (i)</w:t>
      </w:r>
      <w:r>
        <w:rPr>
          <w:caps w:val="false"/>
          <w:smallCaps w:val="false"/>
        </w:rPr>
        <w:t> </w:t>
      </w:r>
      <w:r>
        <w:rPr>
          <w:rFonts w:ascii="Times New Roman PS Std;serif" w:hAnsi="Times New Roman PS Std;serif"/>
          <w:b w:val="false"/>
          <w:i w:val="false"/>
          <w:caps w:val="false"/>
          <w:smallCaps w:val="false"/>
          <w:sz w:val="20"/>
        </w:rPr>
        <w:t xml:space="preserve">did so within the scope of his or her employment such that it constituted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made for hire and all Tenax Owned IP arising therefrom became the exclusive property of Tenax or any of its Subsidiaries or (ii) pursuant to an executed, enforceable, valid written agreement, presently assigned all of his or her rights in Tenax Owned IP to Tenax or any of its Subsidiaries. No current or former directors, officers, employees, contractors or consultants of Tenax or any of its Subsidiaries has made or threatened to make any claim of ownership or right, in whole or in part, to any Tenax Owned IP or asserted in an Action against Tenax or any of its Subsidiaries such claim of ownership or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individually or in the aggregate, reasonably be material to Tenax, Tenax and its Subsidiaries have complied in all material respects with the requirements of the licenses for any Public Software used in the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R&amp;D Sponsor has been used to create any Intellectual Property owned or purported to be owned by Tenax and its Subsidiaries. No R&amp;D Sponsor has any claim of right or license to, ownership of or other Encumbrance (other than a Permitted Encumbrance) on any Tenax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individually or in the aggregate, reasonably be expected to have a Tenax Material Adverse Effect, (i) Tenax and its Subsidiaries are in compliance with all applicable Privacy and Data Security Requirements and (ii) since January 1, 2023, none of Tenax or its Subsidiaries has received a complaint from any Governmental Authority or any other third party regarding its collection, storage, Processing, disclosure, transfer or use of Personal Data that is pending or unresolved and, to the knowledge of Tenax, there are no facts or circumstances that would give rise to any such complaints. Since January 1, 2023, Tenax and its Subsidiaries have used commercially reasonable measures, consistent with accepted industry practices, designed to ensure the confidentiality, integrity, availability, privacy and security of Personal Data Processed by Tenax or any of its Subsidiaries and to protect any Personal Data under their possession or control from any unauthorized use or access. Except as would not, individually or in the aggregate, reasonably be expected to result in a Tenax Material Adverse Effect, since January 1, 2023, neither Tenax nor any of its Subsidiaries has experienced any breaches or unauthorized uses of or access to Personal Data within the possession or control of Tenax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Tenax IT Assets operate and perform in all material respects in accordance with their documentation and functional specifications and otherwise as required to permit the operation of Tenax’s business as currently conducted. Since January 1, 2023, (i) there has been no security breach or unauthorized access to or use of any of the Tenax IT Assets, whether physical or electronic, and (ii) except as would not, individually or in the aggregate, reasonably be expected to have a Tenax Material Adverse Effect, the Tenax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Tenax IT Assets or to the business of Tenax. Tenax and its Subsidiaries have implemented commercially reasonable backup, security and disaster recovery technology consistent with industry practices and are in compliance with applicable Privacy and Data Security Requirements for the Tenax IT Assets used in the business, including regular backup and prompt recovery of data and information.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individually or in the aggregate, reasonably be expected to have a Tenax Material Adverse Effect, no Personal Data, Trade Secrets or other confidential information of Tenax or its Subsidiaries or confidential information of other Persons that is in the possession of Tenax and its Subsidiaries are used in any input to any Artificial Intelligence Tool or in developing or training any internal or third-party Artificial Intelligence Tool.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and other material Tax Returns required to be filed by or with respect to Tenax or any of its Subsidiaries have been timely filed (taking into account any extension of time within which to file) and all such Tax Returns are true, complete and accurate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material Taxes of Tenax and its Subsidiaries have been timely paid, whether or not required to be shown on a Tax Return, or, in the case of Taxes not yet due or that are being contested in good faith, have been accrued or reserved on the Tenax Financial Statements. There are no Tax Encumbrances on the assets of Tenax or any of its Subsidiaries other than Permitted Encumbrances.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Tenax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Tenax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Tenax or any of its Subsidiaries is currently in progress. No deficiency for any material amount of Tax has been asserted or assessed by a Governmental Authority against Tenax or any of its Subsidiaries that has not been settled, paid or withdrawn.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Tenax nor any of its Subsidiaries has been a party to any transaction treated by the parties as a distribution to which Section 355 or 361 of the Code applies.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Tenax nor any of its Subsidiaries has participated in a “listed transaction” within the meaning of Treasury Regulation § 1.6011-4(b), or any similar provision of state, local or foreign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Tenax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 Subsidiary of Tenax); or (iv) has liability for the Taxes of any Person under Treasury Regulation § 1.1502-6 (or any similar provision of state, local or foreign Law), as a transferee or successor, or by Contract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Section 5.15(h)</w:t>
      </w:r>
      <w:r>
        <w:rPr>
          <w:caps w:val="false"/>
          <w:smallCaps w:val="false"/>
        </w:rPr>
        <w:t xml:space="preserve"> </w:t>
      </w:r>
      <w:r>
        <w:rPr>
          <w:rFonts w:ascii="Times New Roman PS Std;serif" w:hAnsi="Times New Roman PS Std;serif"/>
          <w:b w:val="false"/>
          <w:i w:val="false"/>
          <w:caps w:val="false"/>
          <w:smallCaps w:val="false"/>
          <w:sz w:val="20"/>
        </w:rPr>
        <w:t>of the Tenax Disclosure Letter contains a list, as of the Original Execution Date, of the jurisdiction of organization and U.S. federal income tax classification of Tenax and each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claim has been made in writing by any Governmental Authority in a jurisdiction where Tenax or any of its Subsidiaries do not file Tax Returns that any such entity is, or may be, subject to taxation by that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Tenax nor any of its Subsidiaries has an outstanding request for a ruling or similar determination from a Governmental Authority with respect to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Tenax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individually or in the aggregate, reasonably be expected to be material to Tenax and its Subsidiaries, taken as a whole: (a) Tenax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Tenax, threatened in writing against Tenax or any of its Subsidiaries; (c) there has been no release, spill, discharge or disposal of or exposure to any Hazardous Material, nor are there any other environmental conditions, in each case, that would reasonably be expected to form the basis of any Action or Order pursuant to any Environmental Law involving Tenax or its Subsidiaries; and (d) neither Tenax nor any of its Subsidiaries has retained or assumed any liabilities or obligations that would reasonably be expected to form the basis of any Action or Order pursuant to any Environmental Law involving Tenax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5.17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contains a true and complete list of the following types of Contracts to which Tenax or any of its Subsidiaries is a party as of the Original Execution Date(such Contracts, whether or not set forth on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and including any Contract entered into after the Original Execution Date in accordance with the terms of this Agreement that would have been required to be set forth on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of the Tenax Disclosure Letter if it had been entered into as of the Original Execution Date, but excluding any Tenax Benefit Plan, the “</w:t>
      </w:r>
      <w:r>
        <w:rPr>
          <w:rFonts w:ascii="Times New Roman PS Std;serif" w:hAnsi="Times New Roman PS Std;serif"/>
          <w:b w:val="false"/>
          <w:i w:val="false"/>
          <w:caps w:val="false"/>
          <w:smallCaps w:val="false"/>
          <w:sz w:val="20"/>
          <w:u w:val="single"/>
        </w:rPr>
        <w:t>Tenax Material Contracts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Contracts for the purchase of aircraft and agreements to refit existing aircraft pursuant to which Tenax or any of its Subsidiaries would reasonably be expected to make payments of more than $1,000,000 during any fiscal year;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joint venture Contracts, partnership arrangements or other agreements involving a sharing with any third party of profits, losses, costs or liabilities by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Contracts relating to the acquisition or disposition of any business (whether by merger, sale of stock, sale of assets or otherwise) for aggregate consideration in excess of $4,000,000;</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Contracts relating to Indebtedness (including commitments to provide Indebtedness) of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all Contracts (A) that limit, or purport to limit, in any material respect, the ability of Tenax or any of its Subsidiaries or any of their respective employees to compete in any line of business or with any Person or entity (other than Tenax and its Subsidiaries) or in any geographic area or during any period of time or in any customer segment, (B) that limit, or purport to limit, in any respect, the ability of any of Tenax’s Affiliates (other than Tenax’s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Tenax or any of its Subsidiaries or (D) granting any put, call, right of first refusal, right of first negotiation, right of first offer, redemption or similar right in favor of any Person other than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all material Tenax IP Agreements, except for shrink-wrap or click-wrap licenses for off-the-shelf computer software or non-exclusive licenses to or from customers of Tenax;</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Contract between or among (A) Tenax or any of its Subsidiaries, on the one hand, and (B) any Affiliate, employee, shareholder, member, equityholder, officer or director of Tenax or of any Subsidiary, or any of their respective Affiliates or, to the knowledge of Tenax, family members, on the other hand, but excluding, for the avoidance of doubt, (I) any Contracts or arrangements between Tenax and any of its Subsidiaries or between any Subsidiary of Tenax and another Subsidiary of Tenax, (II) any Contract or arrangement relating to the employment of any such Person described in clause (B) and (III) any Contract providing for indemnification or reimbursement of expenses for officers or directors of Tenax or any of its Subsidiaries (in such individual capacity as such);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Tenax Government Contracts under which Tenax or its Subsidiaries would reasonably be expected to receive payments of more than $5,000,000 in any fiscal year (excluding Tenax Government Contracts where any portion of the Tenax Government Contract or performance of the Tenax Government Contract is classified).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Except as would not, individually or in the aggregate, reasonably be expected to have a Tenax Material Adverse Effect, each Tenax Material Contract is in full force and effect and is legal, valid, binding and enforceable in accordance with its terms against Tenax and its Subsidiaries (as applicable) and, to the knowledge of Tenax, the other parties thereto. True and complete copies of each Tenax Material Contract (and a written summary of the terms of any oral Tenax Material Contracts) have been made available to AIR. None of Tenax, any of its Subsidiaries or, to the knowledge of Tenax, any other party thereto is in material violation of or in material default under (nor does there exist any condition that, upon the passage of time or the giving of notice or both, would cause such a violation of or default under) any Tenax Material Contract to which it is a party or by which it or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its properties or other assets is bound, nor have any of them given or received any notice alleging any of the same. Immediately following the Effective Time, each Tenax Material Contract will continue to be in full force and effect and valid, binding and enforceable in accordance with its terms against Tenax and its Subsidiaries (as applicable) and, to the knowledge of Tenax, the other parties thereto,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Tenax, no Affiliate, employee, shareholder, member, equityholder, officer or director of Tenax or of any Subsidiary, or any of their respective Affiliates or, to the knowledge of Tenax, family members, has any material interest in any property used in the conduct of the business of Tenax or any of its Subsidiaries, or any material claim or right against Tenax or any of its Subsidiaries or any direct or indirect material interest in any transaction with Tenax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5.18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has not had and would not reasonably be expected to have, individually or in the aggregate, a Tenax Material Adverse Effect, all insurance policies and all self-insurance programs and arrangements relating to the business, assets and operations of Tenax and its Subsidiaries are in full force and effect, and all premiums thereon have been timely paid or, if not yet due, accrued. As of the Original Execution Date, there is no material claim pending under Tenax’s or any of its Subsidiaries’ insurance policies or fidelity bonds as to which coverage has been questioned, denied or disputed by the underwriters of such policies or bonds. Tenax and its Subsidiaries are in compliance in all material respects with the terms of such policies and bonds, and Tenax has no knowledge of any threatened termination of, or material premium increase with respect to, any of such policies or bonds.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5.19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xml:space="preserve">. No broker, finder, financial advisor or investment banker is entitled to any brokerage, finder’s or other fee or commission in connection with the Transactions based upon arrangements made by or on behalf of Tenax. The fees and expenses of all accountants, brokers, financial advisors, investment bankers, legal counsel and other Persons retained by Tenax or any of its Subsidiaries incurred or to be incurred by Tenax or any of its Subsidiaries in connection with this Agreement or the Transactions will not exceed the amount set forth in </w:t>
      </w:r>
      <w:r>
        <w:rPr>
          <w:rFonts w:ascii="Times New Roman PS Std;serif" w:hAnsi="Times New Roman PS Std;serif"/>
          <w:b w:val="false"/>
          <w:i w:val="false"/>
          <w:caps w:val="false"/>
          <w:smallCaps w:val="false"/>
          <w:sz w:val="20"/>
          <w:u w:val="single"/>
        </w:rPr>
        <w:t>Section 5.19</w:t>
      </w:r>
      <w:r>
        <w:rPr>
          <w:caps w:val="false"/>
          <w:smallCaps w:val="false"/>
        </w:rPr>
        <w:t xml:space="preserve"> </w:t>
      </w:r>
      <w:r>
        <w:rPr>
          <w:rFonts w:ascii="Times New Roman PS Std;serif" w:hAnsi="Times New Roman PS Std;serif"/>
          <w:b w:val="false"/>
          <w:i w:val="false"/>
          <w:caps w:val="false"/>
          <w:smallCaps w:val="false"/>
          <w:sz w:val="20"/>
        </w:rPr>
        <w:t>of the Tenax Disclosure Letter.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5.20        </w:t>
      </w:r>
      <w:r>
        <w:rPr>
          <w:rFonts w:ascii="Times New Roman PS Std;serif" w:hAnsi="Times New Roman PS Std;serif"/>
          <w:b w:val="false"/>
          <w:i w:val="false"/>
          <w:caps w:val="false"/>
          <w:smallCaps w:val="false"/>
          <w:sz w:val="20"/>
          <w:u w:val="single"/>
        </w:rPr>
        <w:t>Government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individually or in the aggregate, have, or reasonably be expected to have, a Tenax Material Adverse Effect, since January 1, 2023: (i) Tenax and its Subsidiaries have complied with all terms and conditions of the Tenax Government Contracts; (ii) Tenax and its Subsidiaries have complied in all respects with all applicable Laws pertaining to each Tenax Government Contract or Tenax Government Bid; (iii) neither Tenax nor its Subsidiaries have received written (or, to the knowledge of Tenax, oral) notice of a cancellation, termination for convenience, termination for default, suspensions or stop work orders (specifically excluding (A) suspensions or stop work orders relating to protests filed in connection with the award of a Tenax Government Contract to Tenax or any of its Subsidiaries or (B) suspensions or stop work orders initiated by a Governmental Authority that apply to all counterparties to similar Tenax Government Contracts and not specific to Tenax or any of its Subsidiaries), cure notice, violation of Law, violation of a Tenax Government Contract or show cause notice, and no such notice is currently proposed or, to the knowledge of Tenax, threatened in writing, pertaining to such Tenax Government Contract; (iv) no cost incurred by Tenax or any of its Subsidiaries pertaining to such Tenax Government Contract has been challenged, disallowed or is the subject of any ongoing audit or is subject to an ongoing investigation, with the exception of routine audits conducted in the ordinary course of business; (v) neither Tenax nor any of its Subsidiaries has been informed by a Governmental Authority that any option with respect to such Tenax Government Contract will not be exercised or that any Tenax Government Contract will be terminated, canceled, subject to reduction or will otherwise come to an end prior to the end of its current period of performance; and (vi) the submissions, representations, certifications and warranties made, acknowledged or set forth by Tenax and its Subsidiaries with respect to the Tenax Government Contracts and Tenax Government Bids were true, complete and correct in all material respects as of their effective date, Tenax and its Subsidiaries have complied with all such certifications and all such representations and certifications have continued to be current and materially accurate and complete to the extent required by the terms of a Tenax Government Contract or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Neither Tenax nor its Subsidiaries have received any written or, to the knowledge of Tenax, oral notice that any officer, employee, consultant or agent of Tenax or its Subsidiaries is, or since January 1, 2023, has been, under administrative, civil or criminal investigation or indictment by any Governmental Authority (A) relating to the performance of his or her duties for Tenax or its Subsidiaries or (B) that would reasonably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to have, individually or in the aggregate, a Tenax Material Adverse Effect; (ii) to the knowledge of Tenax, there is not pending any investigation of Tenax, its Subsidiaries or its officers, employees, consultants or agents, nor since January 1, 2023, has there been any audit or investigation of Tenax, its Subsidiaries or its officers, employees, consultants or agents resulting in a material adverse finding with respect to any alleged irregularity, misstatement or omission arising under or relating to any Tenax Government Contract; (iii) since January 1, 2023, neither Tenax nor its Subsidiaries have made or been required to make any voluntary or mandatory disclosure to any Governmental Authority with respect to any alleged irregularity, unlawful conduct, misstatement, significant overpayment or omission arising under or relating to a Tenax Government Contract; (iv) since January 1, 2023, neither Tenax nor its Subsidiaries have received any written (or, to the knowledge of Tenax,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 Tenax Government Contract; (v) neither Tenax nor its Subsidiaries have received any written (or, to the knowledge of Tenax,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 Tenax Government Contract; (vi) neither Tenax nor its Subsidiaries have received written document requests, subpoenas, search warrants or civil investigative demands addressed to or requesting information involving Tenax, its Subsidiaries or any of its members, managers, officers, employees or affiliates, in connection with or concerning any information related to a Tenax Government Contract; (vii) to the knowledge of Tenax, neither Tenax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Tenax Government Contract; (viii) neither Tenax nor its Subsidiaries, nor, to the knowledge of Tenax, any of their respective officers or employees, has been the subject of any actual “whistleblower” or “qui tam” lawsuit; or (ix) to the knowledge of Tenax,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 Tenax Government Contract.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5.21        </w:t>
      </w:r>
      <w:r>
        <w:rPr>
          <w:rFonts w:ascii="Times New Roman PS Std;serif" w:hAnsi="Times New Roman PS Std;serif"/>
          <w:b w:val="false"/>
          <w:i w:val="false"/>
          <w:caps w:val="false"/>
          <w:smallCaps w:val="false"/>
          <w:sz w:val="20"/>
          <w:u w:val="single"/>
        </w:rPr>
        <w:t>Prohibited Payments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Tenax, any of its Subsidiaries, any of their respective officers or employees and, to the knowledge of Tenax, any supplier, distributor, licensee or agent or any other Person acting on behalf of Tenax or any of its Subsidiaries, directly or indirectly, has (i) made or offered to make or received any direct or indirect payments in violation of the Anti-Corruption Laws,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Tenax nor any of its Subsidiaries has received any written or, to the knowledge of Tenax, other communication from any Governmental Authority regarding any material violation of, or failure to comply with, any Anti-Corruption Laws or, to the knowledge of Tenax, is the subject of any internal complaint, audit or review process regarding a material violation of, or failure to comply with, any Anti-Corruption Laws. Since January 1, 2023, neither Tenax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Tenax Material Adverse Effect. To the knowledge of Tenax, (x) none of the directors, officers, employees or agents of Tenax or any of its Subsidiaries is a government official, political party official or candidate for political office and (y) there are no known familial relationships between any of Tenax’s directors, officers, employees or agents, on the one hand, and any government official, political party official or candidate for political office, on the other hand.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operations of Tenax and its Subsidiaries are and have been conducted at all times in compliance in all material respects with applicable financial recordkeeping, reporting and internal control requirements of the Money Laundering Laws and of the United States Foreign Corrupt Practices Act. No action, claim, suit or proceeding by or before any Governmental Authority involving Tenax or any of its Subsidiaries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 to the Money Laundering Laws is pending or, to the knowledge of Tenax, threatened, nor, to the knowledge of Tenax, is any investigation by or before any Governmental Authority involving Tenax or any of its Subsidiaries with respect to the Money Laundering Laws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None of Tenax, any of its Subsidiaries or, to the knowledge of Tenax, any of their respective Representatives or Affiliates (nor, to the knowledge of Tenax, any Person or entity acting on behalf of any of the foregoing) is currently a Person that is, or is owned or controlled by a Person that is, a Sanctioned Person. Tenax and its Subsidiaries have conducted their transactions in material compliance with all applicable Sanctions. No action, claim, suit or proceeding by or before any Governmental Authority involving Tenax or any of its Subsidiaries with respect to any Sanctions is pending or, to the knowledge of Tenax, threatened, nor, to the knowledge of Tenax, is any investigation by or before any Governmental Authority involving Tenax or any of its Subsidiaries with respect to any Sanctions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Tenax and its Subsidiaries have conducted their transactions in material compliance with the Export Control Laws. No licenses or approvals pursuant to the Export Control Laws are necessary for the transfer of any export licenses or other export approvals to AIR or Merger Sub in connection with the consummation of the Transactions, including the Merger, except for any such licenses or approvals the failure of which to obtain would not, individually or in the aggregate, reasonably be expected to have a Tenax Material Adverse Effect. No action, claim, suit or proceeding by or before any Governmental Authority involving Tenax or any of its Subsidiaries with respect to the Export Control Laws is pending or, to the knowledge of Tenax, threatened, nor, to the knowledge of Tenax, is any investigation by or before any Governmental Authority involving Tenax or any of its Subsidiaries with respect to the Export Control Laws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Tenax has and has implemented policies and procedures reasonably designed to ensure compliance with the Anti-Corruption Laws, Money Laundering Laws, Sanctions and Export Control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5.22        </w:t>
      </w:r>
      <w:r>
        <w:rPr>
          <w:rFonts w:ascii="Times New Roman PS Std;serif" w:hAnsi="Times New Roman PS Std;serif"/>
          <w:b w:val="false"/>
          <w:i w:val="false"/>
          <w:caps w:val="false"/>
          <w:smallCaps w:val="false"/>
          <w:sz w:val="20"/>
          <w:u w:val="single"/>
        </w:rPr>
        <w:t>No Implied Representations and Warranties</w:t>
      </w:r>
      <w:r>
        <w:rPr>
          <w:rFonts w:ascii="Times New Roman PS Std;serif" w:hAnsi="Times New Roman PS Std;serif"/>
          <w:b w:val="false"/>
          <w:i w:val="false"/>
          <w:caps w:val="false"/>
          <w:smallCaps w:val="false"/>
          <w:sz w:val="20"/>
        </w:rPr>
        <w:t xml:space="preserve">. The representations and warranties of Tenax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constitute the sole and exclusive representations and warranties of Tenax to AIR and Merger Sub in connection with the Transactions, and all other representations and warranties of any kind or nature expressed or implied (including, but not limited to, the future or historical financial condition, results of operations, prospects, business, assets or liabilities of Tenax), whether made by Tenax, any of its Affiliates or any of its managers, partners, officers, directors, employees, advisors, consultants, agents or representatives, whether in any individual or any other capacity, are specifically disclaimed by AIR and Merger Sub, and AIR and Merger Sub each acknowledge that it has not relied on and should not rely on and will not rely on any such other representations and warranties other than the representations and warranties of Tenax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Except for the representations and warranties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or in any certificate delivered pursuant to this Agreement, no exhibit to this Agreement, nor any other material or information provided by or communications made by Tenax or any of its Affiliates, or by any Representative thereof, whether by use of a “data room” or in any information memorandum or otherwise, will cause or create any warranty, express or implied, as to the title, condition, value or quality of Tenax and its Subsidiaries.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CONDUCT OF BUSINESS PENDING THE MERGER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6.01        </w:t>
      </w:r>
      <w:r>
        <w:rPr>
          <w:rFonts w:ascii="Times New Roman PS Std;serif" w:hAnsi="Times New Roman PS Std;serif"/>
          <w:b w:val="false"/>
          <w:i w:val="false"/>
          <w:caps w:val="false"/>
          <w:smallCaps w:val="false"/>
          <w:sz w:val="20"/>
          <w:u w:val="single"/>
        </w:rPr>
        <w:t>Conduct of Business by AIR Pending 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covenants and agrees that, between the Original Execution Date and the Effective Time, except (i) as set forth in </w:t>
      </w:r>
      <w:r>
        <w:rPr>
          <w:rFonts w:ascii="Times New Roman PS Std;serif" w:hAnsi="Times New Roman PS Std;serif"/>
          <w:b w:val="false"/>
          <w:i w:val="false"/>
          <w:caps w:val="false"/>
          <w:smallCaps w:val="false"/>
          <w:sz w:val="20"/>
          <w:u w:val="single"/>
        </w:rPr>
        <w:t>Section 6.01(a)</w:t>
      </w:r>
      <w:r>
        <w:rPr>
          <w:caps w:val="false"/>
          <w:smallCaps w:val="false"/>
        </w:rPr>
        <w:t xml:space="preserve"> </w:t>
      </w:r>
      <w:r>
        <w:rPr>
          <w:rFonts w:ascii="Times New Roman PS Std;serif" w:hAnsi="Times New Roman PS Std;serif"/>
          <w:b w:val="false"/>
          <w:i w:val="false"/>
          <w:caps w:val="false"/>
          <w:smallCaps w:val="false"/>
          <w:sz w:val="20"/>
        </w:rPr>
        <w:t>of the AIR Disclosure Letter, (ii) as expressly contemplated by this Agreement or (iii) with the prior written consent of Tenax (which consent shall not be unreasonably withheld, delayed or conditioned), AIR shall, and shall cause each of its Subsidiaries to, use reasonable best efforts to conduct its business in all material respects in the ordinary course consistent with past practice and in material compliance with applicable Law and all AIR Material Contracts. Without limiting the generality of the foregoing, AIR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By way of amplification and not limitation, except as set forth in </w:t>
      </w:r>
      <w:r>
        <w:rPr>
          <w:rFonts w:ascii="Times New Roman PS Std;serif" w:hAnsi="Times New Roman PS Std;serif"/>
          <w:b w:val="false"/>
          <w:i w:val="false"/>
          <w:caps w:val="false"/>
          <w:smallCaps w:val="false"/>
          <w:sz w:val="20"/>
          <w:u w:val="single"/>
        </w:rPr>
        <w:t>Section 6.01(b)</w:t>
      </w:r>
      <w:r>
        <w:rPr>
          <w:caps w:val="false"/>
          <w:smallCaps w:val="false"/>
        </w:rPr>
        <w:t xml:space="preserve"> </w:t>
      </w:r>
      <w:r>
        <w:rPr>
          <w:rFonts w:ascii="Times New Roman PS Std;serif" w:hAnsi="Times New Roman PS Std;serif"/>
          <w:b w:val="false"/>
          <w:i w:val="false"/>
          <w:caps w:val="false"/>
          <w:smallCaps w:val="false"/>
          <w:sz w:val="20"/>
        </w:rPr>
        <w:t>of the AIR Disclosure Letter, as expressly contemplated by this Agreement or the other Transaction Documents or with the prior written consent of Tenax (which consent shall not be unreasonably withheld, delayed or conditioned), neither AIR nor any of its Subsidiaries shall, between the Original Execution Date and the Effective Time, do any of the following:</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or otherwise change its articles of incorporation or bylaws or equivalent organizational documents, or the equivalent organizational documents of any of its Subsidiaries, or create any new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merge or consolidate AIR with any other Person or restructure, reorganize or completely or partially liquidate;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Stock issuable pursuant to the exercise of AIR Stock Options or the settlement of AIR RSU Awards, in each case, outstanding on the Original Execution Date in accordance with their terms and the terms of the AIR Stock Plans as in effect on the Original Execution 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repurchase, redeem or otherwise acquire any outstanding AIR Stock;</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sell, lease, license, pledge or dispose of or (B) grant an Encumbrance on, or permit an Encumbrance to exist on, any properties or assets (other than Intellectual Property, which is the subject of clause (vi)) or any interests therein of AIR or any of its Subsidiaries, other than Permitted Encumbrances;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sell, lease, sublease, license, sublicense, assign or otherwise grant rights under any AIR Owned IP (except for non-exclusive licenses granted to customers and suppliers of AIR in the ordinary course of business consistent with past practice) or transfer, cancel, abandon or fail to renew, maintain or diligently pursue applications for or otherwise dispose of any AIR Owned IP;</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acquire any assets outside the ordinary course of business consistent with past practice from any other Person for consideration in excess of $100,000 in any individual transaction or series of related transactions or $250,000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incur any Indebtedness or guarantee such Indebtedness of another Person, or issue or sell any debt securities or warrants or other rights to acquire any debt security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make or authorize any capital expenditure in excess of $500,000 in the aggregate during any 12-month period beginning on or after the Original Execution 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modify in any material respect any accounting policies or procedures, other than as required by GAAP or Law;</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except as required by applicable Law, (A) make any material change (or file any such change) in any method of Tax accounting; (B) make, change or rescind any material Tax election; (C) settle or compromise any material Tax liability or consent to any claim or assessment or enter into any closing agreement relating to a material amount of Taxes; (D) file any material amended Tax Return; (E) file any claim for refund of a material amount of Taxes; or (F) waive or extend the statute of limitations in respect of material Taxes;</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(xvi)      except as required by the terms of an AIR Benefit Plan or AIR Collective Bargaining Agreement as in effect on the Original Execution Date, (A) adopt, enter into, terminate, modify or amend any AIR Collective Bargaining Agreement or AIR Benefit Plan; (B) increase in any manner the compensation, bonus or fringe or other benefits of, or grant or pay any discretionary bonus of any kind or amount whatsoever to, any current or former AIR Service Provider; (C) grant or pay any change-in-control, retention, severance or termination pay to, or increase in any manner the change-in-control, retention, severance or termination pay of, any current or former AIR Service Provider; (D) grant or modify any awards to any current or former AIR Service Provider (including grants of any stock or stock-based awards or the removal of existing restrictions in any AIR Benefit Plans or awards made thereunder); (E) take any action to fund or in any other way secure the payment of compensation or benefits under any AIR Benefit Plan; (F) take any action to accelerate the vesting or payment of any compensation or benefit under any AIR Benefit Plan or awards made thereunder; (G) except as may be required for continued compliance with generally accepted accounting principles in the relevant jurisdiction, materially change any actuarial or other assumption used to calculate funding obligations with respect to any AIR Benefit Plan or change the manner in which contributions to any AIR Benefit Plan are made or the basis on which such contributions are determined; or (H) terminate or hire any AIR Service Provider, other than terminations for “cause” (as reasonably determined by AIR in accordance with past practices);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AIR may hire additional AIR Service Providers to replace departed AIR Service Providers in the ordinary course of business consistent with past practice, and may terminate or hire AIR Service Providers with an annual base salary that is less than $150,000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except as required by Law or any judgment by a court of competent jurisdiction, (A) pay, discharge, settle or satisfy any material claims, liabilities, obligations or litigation (absolute, accrued, asserted or unasserted, contingent or otherwise), other than the payment, discharge, settlement or satisfaction in the ordinary course of business and in a manner consistent with past practice of, in accordance with their terms, liabilities disclosed, reflected or reserved against in the AIR Financial Statements (or the notes thereto) (for amounts not in excess of such reserves) or incurred since the date of such AIR Financial Statements in the ordinary course of business and in a manner consistent with past practice; (B) cancel or compromise any material Indebtedness; or (C) waive or assign any claims or rights of material value;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enter into, terminate, cancel, modify, amend or fail to renew any AIR Material Contract or AIR Real Property Lease, or any Contract or lease that, if existing on the Original Execution Date, would have been an AIR Material Contract or AIR Real Property Lease, or waive, release or assign any material rights or claims thereunder, in each case, other than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enter into, modify, amend or terminate any Contract, or waive, release or assign any material rights or claims thereunder, which, if so entered into, modified, amended, terminated, waived, released or assigned would (A) reasonably be expected to impair in any material respect the ability of AIR to perform its obligations under this Agreement or (B) reasonably be expected to prevent or materially impede, interfere with, hinder or delay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amend any material AIR Permit in any material respect, or allow any material AIR Permit to lapse, expire or terminate, other than (A) amendments, renewals or extensions of AIR Permits in the ordinary course of business consistent with past practice or (B) non-renewal or non-extension of AIR Permits that are not necessary to conduct AIR’s business as then conducted;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authorize, apply for or cause to be approved the listing of shares of AIR Common Stock or AIR Preferred Stock on any stock exchange;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(xxiii)    authorize, commit or agree to do any of the foregoing.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Nothing contained in this Agreement is intended to give Tenax, directly or indirectly, the right to control or direct the operations of AIR or its Subsidiaries prior to the Effective Time in violation of applicable Law.</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6.02        </w:t>
      </w:r>
      <w:r>
        <w:rPr>
          <w:rFonts w:ascii="Times New Roman PS Std;serif" w:hAnsi="Times New Roman PS Std;serif"/>
          <w:b w:val="false"/>
          <w:i w:val="false"/>
          <w:caps w:val="false"/>
          <w:smallCaps w:val="false"/>
          <w:sz w:val="20"/>
          <w:u w:val="single"/>
        </w:rPr>
        <w:t>Conduct of Business by Tenax Pending 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Tenax covenants and agrees that, between the Original Execution Date and the Effective Time, except (i) as set forth in </w:t>
      </w:r>
      <w:r>
        <w:rPr>
          <w:rFonts w:ascii="Times New Roman PS Std;serif" w:hAnsi="Times New Roman PS Std;serif"/>
          <w:b w:val="false"/>
          <w:i w:val="false"/>
          <w:caps w:val="false"/>
          <w:smallCaps w:val="false"/>
          <w:sz w:val="20"/>
          <w:u w:val="single"/>
        </w:rPr>
        <w:t>Section 6.02(a)</w:t>
      </w:r>
      <w:r>
        <w:rPr>
          <w:caps w:val="false"/>
          <w:smallCaps w:val="false"/>
        </w:rPr>
        <w:t xml:space="preserve"> </w:t>
      </w:r>
      <w:r>
        <w:rPr>
          <w:rFonts w:ascii="Times New Roman PS Std;serif" w:hAnsi="Times New Roman PS Std;serif"/>
          <w:b w:val="false"/>
          <w:i w:val="false"/>
          <w:caps w:val="false"/>
          <w:smallCaps w:val="false"/>
          <w:sz w:val="20"/>
        </w:rPr>
        <w:t>of the Tenax Disclosure Letter, (ii) as expressly contemplated by this Agreement or (iii) with the prior written consent of AIR (which consent shall not be unreasonably withheld, delayed or conditioned), Tenax shall, and shall cause each of its Subsidiaries to, use reasonable best efforts to conduct its business in all material respects in the ordinary course consistent with past practice and in material compliance with applicable Law and all Tenax Material Contracts. Without limiting the generality of the foregoing, Tenax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By way of amplification and not limitation, except as set forth in </w:t>
      </w:r>
      <w:r>
        <w:rPr>
          <w:rFonts w:ascii="Times New Roman PS Std;serif" w:hAnsi="Times New Roman PS Std;serif"/>
          <w:b w:val="false"/>
          <w:i w:val="false"/>
          <w:caps w:val="false"/>
          <w:smallCaps w:val="false"/>
          <w:sz w:val="20"/>
          <w:u w:val="single"/>
        </w:rPr>
        <w:t>Section 6.02(b)</w:t>
      </w:r>
      <w:r>
        <w:rPr>
          <w:caps w:val="false"/>
          <w:smallCaps w:val="false"/>
        </w:rPr>
        <w:t xml:space="preserve"> </w:t>
      </w:r>
      <w:r>
        <w:rPr>
          <w:rFonts w:ascii="Times New Roman PS Std;serif" w:hAnsi="Times New Roman PS Std;serif"/>
          <w:b w:val="false"/>
          <w:i w:val="false"/>
          <w:caps w:val="false"/>
          <w:smallCaps w:val="false"/>
          <w:sz w:val="20"/>
        </w:rPr>
        <w:t>of the Tenax Disclosure Letter, as expressly contemplated by this Agreement or the other Transaction Documents or with the prior written consent of AIR (which consent shall not be unreasonably withheld, delayed or conditioned), neither Tenax nor any of its Subsidiaries shall, between the Original Execution Date and the Effective Time, do any of the following:</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or otherwise change its certificate of formation, limited liability company agreement or equivalent organizational documents, except for any amendments or changes that would not (A) materially delay, materially impede or prevent the consummation of the Transactions or (B) adversely affect the AIR Stockholders in any material respect differently than the Tenax Members;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enter into any new line of business that is material to Tenax and its Subsidiaries, taken as a whole;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authorize, commit or agree to do any of the foregoing.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Nothing contained in this Agreement is intended to give AIR, directly or indirectly, the right to control or direct the operations of Tenax or its Subsidiaries prior to the Effective Time in violation of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6.03        </w:t>
      </w:r>
      <w:r>
        <w:rPr>
          <w:rFonts w:ascii="Times New Roman PS Std;serif" w:hAnsi="Times New Roman PS Std;serif"/>
          <w:b w:val="false"/>
          <w:i w:val="false"/>
          <w:caps w:val="false"/>
          <w:smallCaps w:val="false"/>
          <w:sz w:val="20"/>
          <w:u w:val="single"/>
        </w:rPr>
        <w:t>No Interfering Transactions</w:t>
      </w:r>
      <w:r>
        <w:rPr>
          <w:rFonts w:ascii="Times New Roman PS Std;serif" w:hAnsi="Times New Roman PS Std;serif"/>
          <w:b w:val="false"/>
          <w:i w:val="false"/>
          <w:caps w:val="false"/>
          <w:smallCaps w:val="false"/>
          <w:sz w:val="20"/>
        </w:rPr>
        <w:t>. During the period from the Original Execution Date through the earlier of the Closing and the termination of this Agreement, neither Tenax nor AIR shall, and neither Tenax nor AIR shall permit any of its Subsidiaries to, enter into any agreement to acquire another business or effect any transaction that is reasonably likely to prevent or impede, interfere with, hinder or delay in any material respect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ADDITIONAL AGREEMENTS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7.01        </w:t>
      </w:r>
      <w:r>
        <w:rPr>
          <w:rFonts w:ascii="Times New Roman PS Std;serif" w:hAnsi="Times New Roman PS Std;serif"/>
          <w:b w:val="false"/>
          <w:i w:val="false"/>
          <w:caps w:val="false"/>
          <w:smallCaps w:val="false"/>
          <w:sz w:val="20"/>
          <w:u w:val="single"/>
        </w:rPr>
        <w:t>AIR Stockholders Meeting; Registration Statement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In accordance with the NRS, AIR’s articles of incorporation and bylaws, the Exchange Act and any applicable rules and regulations of NYSE American, AIR, in consultation with Tenax, shall call, give notice of, convene and hold the AIR Stockholders Meeting as promptly as reasonably practicable following the date upon which the Registration Statement has been declared effective under the Securities Act (with the record date and meeting date to be set by the AIR Board after consultation with Tenax regarding such dates) and shall as promptly as reasonably practicable following the date of this Agreement, for the purpose of obtaining the AIR Stockholder Approvals, duly set a record date for determining the stockholders entitled to notice of, and to vote at, the AIR Stockholders Meeting (such date to be at least 20 Business Days following the initiation of a broker search pursuant to Rule 14a-13 under the Exchange Act). Subject to the terms of this Agreement, the AIR Board shall recommend that the stockholders of AIR vote in favor of the approval of the AIR Charter Amendment and the AIR Stock Issuance. AIR shall comply with the NRS, AIR’s articles of incorporation and bylaws, the Exchange Act and the rules and regulations of NYSE American in connection with the AIR Stockholders Meeting, including preparing and delivering the Proxy Statement/Prospectus to AIR’s stockholders, as required pursuant to the Exchange Act and </w:t>
      </w:r>
      <w:r>
        <w:rPr>
          <w:rFonts w:ascii="Times New Roman PS Std;serif" w:hAnsi="Times New Roman PS Std;serif"/>
          <w:b w:val="false"/>
          <w:i w:val="false"/>
          <w:caps w:val="false"/>
          <w:smallCaps w:val="false"/>
          <w:sz w:val="20"/>
          <w:u w:val="single"/>
        </w:rPr>
        <w:t>Section 7.01(b)</w:t>
      </w:r>
      <w:r>
        <w:rPr>
          <w:caps w:val="false"/>
          <w:smallCaps w:val="false"/>
        </w:rPr>
        <w:t xml:space="preserve"> </w:t>
      </w:r>
      <w:r>
        <w:rPr>
          <w:rFonts w:ascii="Times New Roman PS Std;serif" w:hAnsi="Times New Roman PS Std;serif"/>
          <w:b w:val="false"/>
          <w:i w:val="false"/>
          <w:caps w:val="false"/>
          <w:smallCaps w:val="false"/>
          <w:sz w:val="20"/>
        </w:rPr>
        <w:t xml:space="preserve">below. Subject to the terms of this Agreement, unless there has been a Change in the AIR Recommendation, AIR shall use its reasonable best efforts to solicit (or cause to be solicited) from its stockholders proxies constituting the AIR Stockholder Approvals. AIR shall not change the date of, postpone or adjourn the AIR Stockholders Meeting without the consent of Tenax (which may not be unreasonably withheld, conditioned or delayed);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without Tenax’s consent, AIR may adjourn or postpone the AIR Stockholders Meeting as may be required by applicable Law and no more than two times (i) to ensure that any required supplement or amendment to the Proxy Statement/Prospectus is provided to AIR’s stockholders within a reasonable amount of time in advance of the AIR Stockholders Meeting, (ii) to allow reasonable additional time to solicit from its stockholders proxies in favor of approval of the AIR Charter Amendment and the AIR Stock Issuance, (iii) if, as of the time for which the AIR Stockholders Meeting is originally scheduled (as set forth in the Proxy Statement/Prospectus) or the time scheduled for reconvening the AIR Stockholders Meeting, there are insufficient shares of AIR Stock represented (either in person or by proxy) to constitute a quorum necessary to conduct the business of the AIR Stockholders Meeting or at such time AIR has not received proxies sufficient to allow the receipt of the AIR Stockholder Approvals at the AIR Stockholders Meeting or (iv) as required by applicable Law;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the AIR Stockholders Meeting shall not be postponed, recessed or adjourned pursuant to this proviso to a date that is more than 30 days after the date on which the AIR Stockholders Meeting was originally scheduled without the prior written consent of Tenax. Tenax may cause AIR to postpone or adjourn the AIR Stockholders Meeting by prior written notice to AIR once for a period of no longer than ten Business Days if at such time AIR has not received proxies sufficient to allow the receipt of the AIR Stockholder Approvals at the AIR Stockholders Meeting and Tenax informs AIR that Tenax believes in good faith that additional time is required to solicit stockholder proxies in favor of approval of the AIR Charter Amendment and the AIR Stock Issuance.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Promptly following the date of this Agreement, and in any event no later than ten Business Days following the delivery by Tenax of all financial statements that are required by the applicable accounting requirements and other rules and regulations of the SEC to be included in the Registration Statement or the Proxy Statement/Prospectus together with information relating to it required to be included in the Registration Statement or the Proxy Statement/Prospectus under the Exchange Act, the Securities Act or other applicable Law, AIR, with the assistance of Tenax, shall prepare, and AIR shall file with the SEC, the Registration Statement and any amendments or supplements thereto in form and substance reasonably satisfactory to each of AIR and Tenax relating to the Merger and the Transactions. Each of AIR and Tenax shall use its reasonable best efforts to cause the Registration Statement to become effective under the Securities Act as promptly as practicable after such filing and to keep the Registration Statement effective for so long as necessary to consummate the Merger. Subject to the terms of this Agreement, the Proxy Statement/Prospectus shall reflect the AIR Recommendation. Tenax shall, and shall use its reasonable best efforts to cause its Representatives and Affiliates to, cooperate with AIR in the preparation of the Registration Statement and shall furnish to AIR all information relating to it required by the Securities Act and the Exchange Act for inclusion in, or to assist AIR in preparing, the Registration Statement (and responding to any comments from the SEC or its staff with respect thereto), including, without limitation, such financial statements and other information relating to it and its Affiliates required to be included in the Registration Statement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Act, the Securities Act or other applicable Law. In addition, Tenax shall use its reasonable best efforts to cause its independent accountants to provide assistance and cooperation to AIR in connection with the preparation of the Registration Statement and the Proxy Statement/Prospectus, including, without limitation, to the extent required by applicable Law, providing consent to AIR to include their audit reports in the Registration Statement and providing reasonable assistance in the preparation of pro forma financial statements to be included in the Registration Statement. No filing of, or amendment or supplement to, the Registration Statement or the Proxy Statement/Prospectus will be made by AIR without providing Tenax a reasonable opportunity to review and comment thereon. AIR shall promptly provide Tenax and its counsel with copies of any written comments, and shall inform them of any oral comments, that AIR or its counsel may receive from the SEC or its staff with respect to the Registration Statement or the Proxy Statement/Prospectus, and AIR shall use its reasonable best efforts, after consultation with and with the assistance of Tenax, to respond as promptly as practicable to any such comments of the SEC or its staff and to cause the Registration Statement to be declared effective under the Securities Act and thereafter to cause the Proxy Statement/Prospectus to be mailed to AIR’s stockholders at the earliest practicable time. AIR shall advise Tenax promptly after receiving notice of the issuance of any stop order or the suspension of the qualification of the AIR Common Stock issuable in connection with the Merger for offering or sale in any jurisdiction. Each of AIR and Tenax shall promptly advise the other if it determines that any information provided by it for use in the Registration Statement was or shall have become false or misleading in any material respect and shall promptly notify the other if it becomes aware of any material fact not contained in the Registration Statement and required to be stated therein or necessary to make the statements therein, in light of the circumstances under which they were made, not misleading. AIR shall take all steps necessary to cause the Registration Statement as so corrected to be filed with the SEC and the Proxy Statement/Prospectus to be disseminated to holders of shares of AIR Stock, in each case as, and to the extent, required by applicable Law. AIR shall promptly provide Tenax and its counsel with copies of any written comments, and shall inform them of any oral comments, that AIR or its counsel may receive from the SEC or its staff requesting any amendments or supplements to the Registration Statement or the Proxy Statement/Prospectus, and AIR and Tenax shall cooperate in filing with the SEC or its staff, and if required by applicable Law, AIR shall mail to its stockholders, as promptly as reasonably practicable, such amendment or supplement. AIR shall provide Tenax and its counsel a reasonable opportunity to review any written responses to all SEC comments with respect to the Registration Statement or the Proxy Statement/Prospectus, and AIR shall give due consideration to the reasonable additions, deletions or changes suggested thereto by Tenax and its counsel.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7.02        </w:t>
      </w:r>
      <w:r>
        <w:rPr>
          <w:rFonts w:ascii="Times New Roman PS Std;serif" w:hAnsi="Times New Roman PS Std;serif"/>
          <w:b w:val="false"/>
          <w:i w:val="false"/>
          <w:caps w:val="false"/>
          <w:smallCaps w:val="false"/>
          <w:sz w:val="20"/>
          <w:u w:val="single"/>
        </w:rPr>
        <w:t>No Solicitation of Transactions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agrees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be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Competing AIR Transaction Agreement; or (v) resolve, propose or agree, or authorize or permit any Representative, to do any of the foregoing. Without limiting the foregoing, it is agreed that any violation of the restrictions set forth in the preceding sentence by any Representative of AIR or any of its Subsidiaries shall be deemed to be a breach of this </w:t>
      </w:r>
      <w:r>
        <w:rPr>
          <w:rFonts w:ascii="Times New Roman PS Std;serif" w:hAnsi="Times New Roman PS Std;serif"/>
          <w:b w:val="false"/>
          <w:i w:val="false"/>
          <w:caps w:val="false"/>
          <w:smallCaps w:val="false"/>
          <w:sz w:val="20"/>
          <w:u w:val="single"/>
        </w:rPr>
        <w:t>Section 7.02(a)</w:t>
      </w:r>
      <w:r>
        <w:rPr>
          <w:caps w:val="false"/>
          <w:smallCaps w:val="false"/>
        </w:rPr>
        <w:t xml:space="preserve"> </w:t>
      </w:r>
      <w:r>
        <w:rPr>
          <w:rFonts w:ascii="Times New Roman PS Std;serif" w:hAnsi="Times New Roman PS Std;serif"/>
          <w:b w:val="false"/>
          <w:i w:val="false"/>
          <w:caps w:val="false"/>
          <w:smallCaps w:val="false"/>
          <w:sz w:val="20"/>
        </w:rPr>
        <w:t>by AIR. AIR shall, and shall cause its Subsidiaries and its and its Subsidiaries’ Representatives to, immediately cease and cause to be terminated all existing discussions or negotiations with any Persons conducted prior to the execution of this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AIR shall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or inquiry. AIR shall (i) keep Tenax fully informed of the status and material details (including any change to the terms thereof) of any such Competing AIR Proposal or inquiry and (ii) provide to Tenax, as soon as practicable after receipt or delivery thereof (and in any event, within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(or their Representatives), on the one hand, and the Person making such Competing AIR Proposal or inquiry (or its Representatives),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Notwithstanding anything to the contrary in this Agreement, at any time prior to the receipt of the AIR Stockholder Approvals, AIR may, subject to compliance with </w:t>
      </w:r>
      <w:r>
        <w:rPr>
          <w:rFonts w:ascii="Times New Roman PS Std;serif" w:hAnsi="Times New Roman PS Std;serif"/>
          <w:b w:val="false"/>
          <w:i w:val="false"/>
          <w:caps w:val="false"/>
          <w:smallCaps w:val="false"/>
          <w:sz w:val="20"/>
          <w:u w:val="single"/>
        </w:rPr>
        <w:t>Section 7.02(b)</w:t>
      </w:r>
      <w:r>
        <w:rPr>
          <w:rFonts w:ascii="Times New Roman PS Std;serif" w:hAnsi="Times New Roman PS Std;serif"/>
          <w:b w:val="false"/>
          <w:i w:val="false"/>
          <w:caps w:val="false"/>
          <w:smallCaps w:val="false"/>
          <w:sz w:val="20"/>
        </w:rPr>
        <w:t xml:space="preserve">, furnish information to, and enter into discussions with, a Person who has made, after the Original Execution Date, an unsolicited, written, bona fide Competing AIR Proposal so long as such Competing AIR Proposal did not result from a breach of this </w:t>
      </w:r>
      <w:r>
        <w:rPr>
          <w:rFonts w:ascii="Times New Roman PS Std;serif" w:hAnsi="Times New Roman PS Std;serif"/>
          <w:b w:val="false"/>
          <w:i w:val="false"/>
          <w:caps w:val="false"/>
          <w:smallCaps w:val="false"/>
          <w:sz w:val="20"/>
          <w:u w:val="single"/>
        </w:rPr>
        <w:t>Section 7.02</w:t>
      </w:r>
      <w:r>
        <w:rPr>
          <w:caps w:val="false"/>
          <w:smallCaps w:val="false"/>
        </w:rPr>
        <w:t xml:space="preserve"> </w:t>
      </w:r>
      <w:r>
        <w:rPr>
          <w:rFonts w:ascii="Times New Roman PS Std;serif" w:hAnsi="Times New Roman PS Std;serif"/>
          <w:b w:val="false"/>
          <w:i w:val="false"/>
          <w:caps w:val="false"/>
          <w:smallCaps w:val="false"/>
          <w:sz w:val="20"/>
        </w:rPr>
        <w:t>and, prior to furnishing such information and entering into such discussions, the AIR Board has (i) reasonably determined, in its good-faith judgment (after having received the advice of a financial advisor of nationally recognized reputation and outside legal counsel qualified to practice in the State of Nevada and experienced in matters of Nevada corporate Law) that (A) such Competing AIR Proposal constitutes, or is reasonably likely to lead to, a Superior Proposal and (B) the failure to furnish such information to, or enter into such discussions with, the Person who made such Competing AIR Proposal would violate the AIR Board’s fiduciary duties under the NRS, (ii) previously provided all such information to Tenax (or provides such information to Tenax substantially concurrent with the time it is provided to such Person) and (iii) obtained from such Person an Acceptable AIR Confidentiality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Except as set forth in this </w:t>
      </w:r>
      <w:r>
        <w:rPr>
          <w:rFonts w:ascii="Times New Roman PS Std;serif" w:hAnsi="Times New Roman PS Std;serif"/>
          <w:b w:val="false"/>
          <w:i w:val="false"/>
          <w:caps w:val="false"/>
          <w:smallCaps w:val="false"/>
          <w:sz w:val="20"/>
          <w:u w:val="single"/>
        </w:rPr>
        <w:t>Section 7.02(d)</w:t>
      </w:r>
      <w:r>
        <w:rPr>
          <w:rFonts w:ascii="Times New Roman PS Std;serif" w:hAnsi="Times New Roman PS Std;serif"/>
          <w:b w:val="false"/>
          <w:i w:val="false"/>
          <w:caps w:val="false"/>
          <w:smallCaps w:val="false"/>
          <w:sz w:val="20"/>
        </w:rPr>
        <w:t>, neither the AIR Board nor any committee thereof shall (i) (A) fail to make, withdraw, qualify, modify or amend, or propose publicly to fail to make, withdraw, qualify, modify or amend, the AIR Recommendation or fail to include the AIR Recommendation in the Proxy Statement/Prospectus, (B) adopt or recommend, or propose publicly to adopt or recommend, any Competing AIR Proposal or (C) enter into any agreement relating to a Competing AIR Proposal (other than an Acceptable AIR Confidentiality Agreement); or (ii) make any public statement inconsistent with the AIR Recommendation (any of the actions described in the foregoing clauses (i) and (ii), a “</w:t>
      </w:r>
      <w:r>
        <w:rPr>
          <w:rFonts w:ascii="Times New Roman PS Std;serif" w:hAnsi="Times New Roman PS Std;serif"/>
          <w:b w:val="false"/>
          <w:i w:val="false"/>
          <w:caps w:val="false"/>
          <w:smallCaps w:val="false"/>
          <w:sz w:val="20"/>
          <w:u w:val="single"/>
        </w:rPr>
        <w:t>Change in the AIR Recommendation</w:t>
      </w:r>
      <w:r>
        <w:rPr>
          <w:caps w:val="false"/>
          <w:smallCaps w:val="false"/>
        </w:rPr>
        <w:t>”</w:t>
      </w:r>
      <w:r>
        <w:rPr>
          <w:rFonts w:ascii="Times New Roman PS Std;serif" w:hAnsi="Times New Roman PS Std;serif"/>
          <w:b w:val="false"/>
          <w:i w:val="false"/>
          <w:caps w:val="false"/>
          <w:smallCaps w:val="false"/>
          <w:sz w:val="20"/>
        </w:rPr>
        <w:t xml:space="preserve">). Notwithstanding the foregoing, if at any time prior to the receipt of the AIR Stockholder Approvals and subject to compliance with </w:t>
      </w:r>
      <w:r>
        <w:rPr>
          <w:rFonts w:ascii="Times New Roman PS Std;serif" w:hAnsi="Times New Roman PS Std;serif"/>
          <w:b w:val="false"/>
          <w:i w:val="false"/>
          <w:caps w:val="false"/>
          <w:smallCaps w:val="false"/>
          <w:sz w:val="20"/>
          <w:u w:val="single"/>
        </w:rPr>
        <w:t>Section 7.02(b)</w:t>
      </w:r>
      <w:r>
        <w:rPr>
          <w:rFonts w:ascii="Times New Roman PS Std;serif" w:hAnsi="Times New Roman PS Std;serif"/>
          <w:b w:val="false"/>
          <w:i w:val="false"/>
          <w:caps w:val="false"/>
          <w:smallCaps w:val="false"/>
          <w:sz w:val="20"/>
        </w:rPr>
        <w:t xml:space="preserve">, in response to the receipt of an unsolicited, written, bona fide Competing AIR Proposal received after the Original Execution Date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the failure of the AIR Board to make a Change in the AIR Recommendation would violate the fiduciary duties of the AIR Board under the NRS, then the AIR Board may make a Change in the AIR Recommendation;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Change in the AIR Recommendation may be made that relates to a Competing AIR Proposal unless such Competing AIR Proposal constitutes a Superior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AIR shall not be entitled to exercise its right to make a Change in the AIR Recommendation until after the fifth Business Day following Tenax’s receipt of written notice from AIR advising Tenax that the AIR Board intends to make a Change in the AIR Recommendation (a “</w:t>
      </w:r>
      <w:r>
        <w:rPr>
          <w:rFonts w:ascii="Times New Roman PS Std;serif" w:hAnsi="Times New Roman PS Std;serif"/>
          <w:b w:val="false"/>
          <w:i w:val="false"/>
          <w:caps w:val="false"/>
          <w:smallCaps w:val="false"/>
          <w:sz w:val="20"/>
          <w:u w:val="single"/>
        </w:rPr>
        <w:t>Notice of Adverse Recommendation</w:t>
      </w:r>
      <w:r>
        <w:rPr>
          <w:caps w:val="false"/>
          <w:smallCaps w:val="false"/>
        </w:rPr>
        <w:t>”</w:t>
      </w:r>
      <w:r>
        <w:rPr>
          <w:rFonts w:ascii="Times New Roman PS Std;serif" w:hAnsi="Times New Roman PS Std;serif"/>
          <w:b w:val="false"/>
          <w:i w:val="false"/>
          <w:caps w:val="false"/>
          <w:smallCaps w:val="false"/>
          <w:sz w:val="20"/>
        </w:rPr>
        <w:t>) and specifying the reasons therefor, including a description of any Intervening Event in reasonable detail or the terms and conditions of any Superior Proposal and including an unredacted copy of any proposed agreement (including schedules and exhibits thereto) relating to such Superior Proposal (it being understood and agreed that any material change regarding such Intervening Event, or any amendment to the financial terms or any other material term of such Superior Proposal, shall require a new Notice of Adverse Recommendation and a new three-Business-Day notice period). AIR agrees that, during the applicable five-Business-Day notice period prior to the AIR Board making a Change in the AIR Recommendation, AIR and its Representatives shall negotiate in good faith with Tenax and its Representatives regarding any revisions to the terms of this Agreement proposed by Tenax. In determining whether to make a Change in the AIR Recommendation, the AIR Board shall take into account any changes to the financial or other terms of this Agreement proposed by Tenax in response to a Notice of Adverse Recommendation or otherwise. At the end of the five-Business-Day notice period (or three-Business-Day notice period with respect to any material change regarding such Intervening Event, or any amendment to the financial terms or any other material term of such Superior Proposal) the AIR Board may effect a Change in the AIR Recommendation if the AIR Board shall again make a determination in good faith after consultation with its outside legal counsel and financial advisors (and taking into account any adjustment or modification of the terms of this Agreement proposed by Tenax), that the Change in the AIR Recommendation is required to comply with the fiduciary duties of the AIR Board under the NRS and, if applicable, the Competing AIR Proposal continues to constitute a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Notwithstanding anything in this Agreement to the contrary, in no event shall any Change in the AIR Recommendation (A) affect the validity and enforceability of this Agreement or the other Transaction Documents, including the obligations of AIR and AIR’s stockholders that are party to the Transaction Documents to consummate the Merger or the other Transactions or (B) cause any state corporate takeover statute or other similar statute to be applicable to the Merger or the other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Tenax agrees that neither it nor any of its Subsidiaries nor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Competing Tenax Transaction Agreement; or (v) resolve, propose or agree, or authorize or permit any Representative, to do any of the foregoing. Without limiting the foregoing, it is agreed that any violation of the restrictions set forth in the preceding sentence by any Representative of Tenax or any of its Subsidiaries shall be deemed to be a breach of this</w:t>
      </w:r>
      <w:r>
        <w:rPr>
          <w:caps w:val="false"/>
          <w:smallCaps w:val="false"/>
          <w:u w:val="single"/>
        </w:rPr>
        <w:t xml:space="preserve"> </w:t>
      </w:r>
      <w:r>
        <w:rPr>
          <w:rFonts w:ascii="Times New Roman PS Std;serif" w:hAnsi="Times New Roman PS Std;serif"/>
          <w:b w:val="false"/>
          <w:i w:val="false"/>
          <w:caps w:val="false"/>
          <w:smallCaps w:val="false"/>
          <w:sz w:val="20"/>
          <w:u w:val="single"/>
        </w:rPr>
        <w:t>Section 7.02(f)</w:t>
      </w:r>
      <w:r>
        <w:rPr>
          <w:caps w:val="false"/>
          <w:smallCaps w:val="false"/>
        </w:rPr>
        <w:t xml:space="preserve"> </w:t>
      </w:r>
      <w:r>
        <w:rPr>
          <w:rFonts w:ascii="Times New Roman PS Std;serif" w:hAnsi="Times New Roman PS Std;serif"/>
          <w:b w:val="false"/>
          <w:i w:val="false"/>
          <w:caps w:val="false"/>
          <w:smallCaps w:val="false"/>
          <w:sz w:val="20"/>
        </w:rPr>
        <w:t>by Tenax. Tenax shall, and shall cause its Subsidiaries and its and its Subsidiaries’ Representatives to, immediately cease and cause to be terminated all existing discussions or negotiations with any Persons conducted prior to the execution of this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Tenax shall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or inquiry. Tenax shall (i) keep AIR fully informed of the status and material details (including any change to the terms thereof) of any such Competing Tenax Proposal or inquiry and (ii)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(or their Representatives), on the one hand, and the Person making such Competing Tenax Proposal or inquiry (or its Representatives),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Notwithstanding anything to the contrary in this Agreement, at any time prior to the receipt of the AIR Stockholder Approvals, Tenax may, subject to compliance with </w:t>
      </w:r>
      <w:r>
        <w:rPr>
          <w:rFonts w:ascii="Times New Roman PS Std;serif" w:hAnsi="Times New Roman PS Std;serif"/>
          <w:b w:val="false"/>
          <w:i w:val="false"/>
          <w:caps w:val="false"/>
          <w:smallCaps w:val="false"/>
          <w:sz w:val="20"/>
          <w:u w:val="single"/>
        </w:rPr>
        <w:t>Section 7.02(g)</w:t>
      </w:r>
      <w:r>
        <w:rPr>
          <w:rFonts w:ascii="Times New Roman PS Std;serif" w:hAnsi="Times New Roman PS Std;serif"/>
          <w:b w:val="false"/>
          <w:i w:val="false"/>
          <w:caps w:val="false"/>
          <w:smallCaps w:val="false"/>
          <w:sz w:val="20"/>
        </w:rPr>
        <w:t xml:space="preserve">, furnish information to, and enter into discussions with, a Person who has made, after the Original Execution Date, an unsolicited, written, bona fide Competing Tenax Proposal so long as such Competing Tenax Proposal did not result from a breach of this </w:t>
      </w:r>
      <w:r>
        <w:rPr>
          <w:rFonts w:ascii="Times New Roman PS Std;serif" w:hAnsi="Times New Roman PS Std;serif"/>
          <w:b w:val="false"/>
          <w:i w:val="false"/>
          <w:caps w:val="false"/>
          <w:smallCaps w:val="false"/>
          <w:sz w:val="20"/>
          <w:u w:val="single"/>
        </w:rPr>
        <w:t>Section 7.02</w:t>
      </w:r>
      <w:r>
        <w:rPr>
          <w:caps w:val="false"/>
          <w:smallCaps w:val="false"/>
        </w:rPr>
        <w:t xml:space="preserve"> </w:t>
      </w:r>
      <w:r>
        <w:rPr>
          <w:rFonts w:ascii="Times New Roman PS Std;serif" w:hAnsi="Times New Roman PS Std;serif"/>
          <w:b w:val="false"/>
          <w:i w:val="false"/>
          <w:caps w:val="false"/>
          <w:smallCaps w:val="false"/>
          <w:sz w:val="20"/>
        </w:rPr>
        <w:t>and, prior to furnishing such information and entering into such discussions, the Tenax Board has obtained from such Person an Acceptable Tenax Confidentiality Agreement.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7.03        </w:t>
      </w:r>
      <w:r>
        <w:rPr>
          <w:rFonts w:ascii="Times New Roman PS Std;serif" w:hAnsi="Times New Roman PS Std;serif"/>
          <w:b w:val="false"/>
          <w:i w:val="false"/>
          <w:caps w:val="false"/>
          <w:smallCaps w:val="false"/>
          <w:sz w:val="20"/>
          <w:u w:val="single"/>
        </w:rPr>
        <w:t>Access to Information;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Except as otherwise prohibited by applicable Law, from the date of this Agreement until the Effective Time, AIR shall, and shall cause its Subsidiaries to, (i) provide to Tenax and Tenax’s Representatives reasonable access during normal business hours upon reasonable prior notice to the officers, employees and other personnel, agents, properties, offices and other facilities of AIR and its Subsidiaries and to the books and records thereof and (ii) furnish promptly to Tenax such information concerning the business, properties, Contracts, assets, liabilities, personnel and other aspects of AIR and its Subsidiaries as Tenax or its Representatives may reasonably request (including for purposes of conducting regulatory compliance reviews and audits to allow Tenax to be in compliance with its policies and procedures and any applicable Law at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AIR shall not be required to provide access to or disclose any such information to the extent such access or disclosure would result in the loss of attorney-client privilege of AIR or any of its Subsidiaries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AIR and its Subsidiaries shall use their reasonable best efforts to allow for such access or disclosure in a manner that does not result in a loss of attorney-client privilege).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otherwise prohibited by applicable Law, from the date of this Agreement until the Effective Time, Tenax shall, and shall cause its Subsidiaries to, provide to AIR and AIR’s Representatives reasonable access during normal business hours upon reasonable prior notice to Tenax’s personnel and records on a basis consistent with AIR’s access to such personnel and records prior to the date hereof in connection with AIR’s due diligence review of Tenax and its Subsidiaries in connection with the Transactions and as the parties shall determine is reasonably necessary to enable the AIR Board to fulfill its fiduciary duties under the NRS.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All information obtained by the parties hereto pursuant to this </w:t>
      </w:r>
      <w:r>
        <w:rPr>
          <w:rFonts w:ascii="Times New Roman PS Std;serif" w:hAnsi="Times New Roman PS Std;serif"/>
          <w:b w:val="false"/>
          <w:i w:val="false"/>
          <w:caps w:val="false"/>
          <w:smallCaps w:val="false"/>
          <w:sz w:val="20"/>
          <w:u w:val="single"/>
        </w:rPr>
        <w:t xml:space="preserve">Section 7.03 </w:t>
      </w:r>
      <w:r>
        <w:rPr>
          <w:rFonts w:ascii="Times New Roman PS Std;serif" w:hAnsi="Times New Roman PS Std;serif"/>
          <w:b w:val="false"/>
          <w:i w:val="false"/>
          <w:caps w:val="false"/>
          <w:smallCaps w:val="false"/>
          <w:sz w:val="20"/>
        </w:rPr>
        <w:t>shall be kept confidential in accordance with the Confidentiality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No investigation pursuant to this </w:t>
      </w:r>
      <w:r>
        <w:rPr>
          <w:rFonts w:ascii="Times New Roman PS Std;serif" w:hAnsi="Times New Roman PS Std;serif"/>
          <w:b w:val="false"/>
          <w:i w:val="false"/>
          <w:caps w:val="false"/>
          <w:smallCaps w:val="false"/>
          <w:sz w:val="20"/>
          <w:u w:val="single"/>
        </w:rPr>
        <w:t>Section 7.03</w:t>
      </w:r>
      <w:r>
        <w:rPr>
          <w:caps w:val="false"/>
          <w:smallCaps w:val="false"/>
        </w:rPr>
        <w:t xml:space="preserve"> </w:t>
      </w:r>
      <w:r>
        <w:rPr>
          <w:rFonts w:ascii="Times New Roman PS Std;serif" w:hAnsi="Times New Roman PS Std;serif"/>
          <w:b w:val="false"/>
          <w:i w:val="false"/>
          <w:caps w:val="false"/>
          <w:smallCaps w:val="false"/>
          <w:sz w:val="20"/>
        </w:rPr>
        <w:t>shall affect any representation, warranty, covenant or agreement in this Agreement of any party hereto or any condition to the obligations of the parties 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7.04        </w:t>
      </w:r>
      <w:r>
        <w:rPr>
          <w:rFonts w:ascii="Times New Roman PS Std;serif" w:hAnsi="Times New Roman PS Std;serif"/>
          <w:b w:val="false"/>
          <w:i w:val="false"/>
          <w:caps w:val="false"/>
          <w:smallCaps w:val="false"/>
          <w:sz w:val="20"/>
          <w:u w:val="single"/>
        </w:rPr>
        <w:t>Employee Benefits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For the period beginning on the Closing Date and continuing through the first anniversary of the Closing Date (or, if shorter, during the period of employment), AIR shall, or shall cause its Subsidiaries to, provide each employee of AIR or its Subsidiaries, as of immediately prior to the Effective Time, who continues to be employed by AIR or the Surviving Company after the Closing Date (collectively, the “</w:t>
      </w:r>
      <w:r>
        <w:rPr>
          <w:rFonts w:ascii="Times New Roman PS Std;serif" w:hAnsi="Times New Roman PS Std;serif"/>
          <w:b w:val="false"/>
          <w:i w:val="false"/>
          <w:caps w:val="false"/>
          <w:smallCaps w:val="false"/>
          <w:sz w:val="20"/>
          <w:u w:val="single"/>
        </w:rPr>
        <w:t>Continuing Employees</w:t>
      </w:r>
      <w:r>
        <w:rPr>
          <w:caps w:val="false"/>
          <w:smallCaps w:val="false"/>
        </w:rPr>
        <w:t>”</w:t>
      </w:r>
      <w:r>
        <w:rPr>
          <w:rFonts w:ascii="Times New Roman PS Std;serif" w:hAnsi="Times New Roman PS Std;serif"/>
          <w:b w:val="false"/>
          <w:i w:val="false"/>
          <w:caps w:val="false"/>
          <w:smallCaps w:val="false"/>
          <w:sz w:val="20"/>
        </w:rPr>
        <w:t>) with (i) a base salary or wage rate, as applicable, and annual cash target bonus opportunity that is not less than the base salary or wage rate, as applicable, and annual target cash bonus opportunity provided to such Continuing Employee immediately prior to the Effective Time and (ii) other employee benefits (including severance benefits) that are no less favorable in the aggregate than either, as determined by AIR in its sole discretion, (A) the other employee benefits provided to such Continuing Employee by AIR and its Subsidiaries immediately prior to the Effective Time or (B) the other employee benefits provided to similarly situated employees of Tenax and its Subsidiaries immediately prior to the Effective Time. Notwithstanding anything herein to the contrary, effective from and after the Closing Date, the terms and conditions of employment for any Continuing Employee covered by an AIR Collective Bargaining Agreement shall continue to be governed by the applicable AIR Collective Bargaining Agreement until the expiration, modification or termination of such AIR Collective Bargaining Agreement in accordance with its terms or applicable 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Without limiting the generality of </w:t>
      </w:r>
      <w:r>
        <w:rPr>
          <w:rFonts w:ascii="Times New Roman PS Std;serif" w:hAnsi="Times New Roman PS Std;serif"/>
          <w:b w:val="false"/>
          <w:i w:val="false"/>
          <w:caps w:val="false"/>
          <w:smallCaps w:val="false"/>
          <w:sz w:val="20"/>
          <w:u w:val="single"/>
        </w:rPr>
        <w:t>Section 10.05</w:t>
      </w:r>
      <w:r>
        <w:rPr>
          <w:rFonts w:ascii="Times New Roman PS Std;serif" w:hAnsi="Times New Roman PS Std;serif"/>
          <w:b w:val="false"/>
          <w:i w:val="false"/>
          <w:caps w:val="false"/>
          <w:smallCaps w:val="false"/>
          <w:sz w:val="20"/>
        </w:rPr>
        <w:t xml:space="preserve">, the provisions of this </w:t>
      </w:r>
      <w:r>
        <w:rPr>
          <w:rFonts w:ascii="Times New Roman PS Std;serif" w:hAnsi="Times New Roman PS Std;serif"/>
          <w:b w:val="false"/>
          <w:i w:val="false"/>
          <w:caps w:val="false"/>
          <w:smallCaps w:val="false"/>
          <w:sz w:val="20"/>
          <w:u w:val="single"/>
        </w:rPr>
        <w:t>Section 7.04</w:t>
      </w:r>
      <w:r>
        <w:rPr>
          <w:caps w:val="false"/>
          <w:smallCaps w:val="false"/>
        </w:rPr>
        <w:t xml:space="preserve"> </w:t>
      </w:r>
      <w:r>
        <w:rPr>
          <w:rFonts w:ascii="Times New Roman PS Std;serif" w:hAnsi="Times New Roman PS Std;serif"/>
          <w:b w:val="false"/>
          <w:i w:val="false"/>
          <w:caps w:val="false"/>
          <w:smallCaps w:val="false"/>
          <w:sz w:val="20"/>
        </w:rPr>
        <w:t xml:space="preserve">are for the sole benefit of the parties to this Agreement and nothing herein, express or implied, is intended or shall be construed to confer upon or give any Person (including, for the avoidance of doubt, any Continuing Employee or other current or former AIR Service Provider or Tenax Service Provider), other than the parties hereto and their respective permitted successors and assigns, any legal or equitable or other rights or remedies (including with respect to the matters provided for in this </w:t>
      </w:r>
      <w:r>
        <w:rPr>
          <w:rFonts w:ascii="Times New Roman PS Std;serif" w:hAnsi="Times New Roman PS Std;serif"/>
          <w:b w:val="false"/>
          <w:i w:val="false"/>
          <w:caps w:val="false"/>
          <w:smallCaps w:val="false"/>
          <w:sz w:val="20"/>
          <w:u w:val="single"/>
        </w:rPr>
        <w:t>Section 7.04</w:t>
      </w:r>
      <w:r>
        <w:rPr>
          <w:rFonts w:ascii="Times New Roman PS Std;serif" w:hAnsi="Times New Roman PS Std;serif"/>
          <w:b w:val="false"/>
          <w:i w:val="false"/>
          <w:caps w:val="false"/>
          <w:smallCaps w:val="false"/>
          <w:sz w:val="20"/>
        </w:rPr>
        <w:t>) under or by reason of any provision of this Agreement. Nothing contained in this Agreement, express or implied, shall (i) be treated as an amendment to any AIR Benefit Plan, Tenax Benefit Plan or other compensation or benefit plan, program, policy, agreement, arrangement or understanding for any purpose; (ii) obligate AIR or the Surviving Company or any of their respective Subsidiaries to (A) maintain any particular benefit plan or arrangement or (B) retain the employment of any particular employee; or (iii) prevent AIR or the Surviving Company or any of their respective Subsidiaries from amending or terminating any benefit plan or arrangement.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7.05        </w:t>
      </w:r>
      <w:r>
        <w:rPr>
          <w:rFonts w:ascii="Times New Roman PS Std;serif" w:hAnsi="Times New Roman PS Std;serif"/>
          <w:b w:val="false"/>
          <w:i w:val="false"/>
          <w:caps w:val="false"/>
          <w:smallCaps w:val="false"/>
          <w:sz w:val="20"/>
          <w:u w:val="single"/>
        </w:rPr>
        <w:t>Directors’ and Officers’ Indemnification and Insurance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AIR’s obligations with respect to all rights to indemnification and exculpation from liabilities, including advancement of expenses, for acts or omissions occurring at or prior to the Effective Time now existing in favor of the current or former directors or officers of AIR as provided in the articles of incorporation and bylaws of AIR or any indemnification Contract between such directors or officers and AIR (in each case, as in effect on the date hereof) shall survive the Closing and shall continue in full force and effect in accordance with their terms. For the avoidance of doubt, the applicable rights of indemnification and exculpation contemplated by this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and pursuant to the terms of the articles of incorporation or bylaws of AIR as in effect at or prior to the Effective Time shall not be impaired by any modification of such terms in any amendment or restatement of such articles of incorporation or bylaws following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For the three-year period commencing immediately after the Effective Time, AIR shall maintain in effect a directors’ and officers’ liability insurance with an insurance carrier with the same or better credit rating as AIR’s insurance carrier as of the date hereof covering acts or omissions occurring at or prior to the Effective Time with respect to those individuals who are currently (and any additional individuals who prior to the Effective Time become) covered by AIR’s directors’ and officers’ liability insurance policies on terms, conditions, retentions and limits of liability that are at least as favorable as AIR’s existing policies in effect on the date of this Agreement. AIR shall be permitted, prior to the Effective Time, to obtain and fully pay the premium, subject to the maximum annual premium referred to in the first proviso to this </w:t>
      </w:r>
      <w:r>
        <w:rPr>
          <w:rFonts w:ascii="Times New Roman PS Std;serif" w:hAnsi="Times New Roman PS Std;serif"/>
          <w:b w:val="false"/>
          <w:i w:val="false"/>
          <w:caps w:val="false"/>
          <w:smallCaps w:val="false"/>
          <w:sz w:val="20"/>
          <w:u w:val="single"/>
        </w:rPr>
        <w:t>Section 7.05(b)</w:t>
      </w:r>
      <w:r>
        <w:rPr>
          <w:rFonts w:ascii="Times New Roman PS Std;serif" w:hAnsi="Times New Roman PS Std;serif"/>
          <w:b w:val="false"/>
          <w:i w:val="false"/>
          <w:caps w:val="false"/>
          <w:smallCaps w:val="false"/>
          <w:sz w:val="20"/>
        </w:rPr>
        <w:t>, for the extension of (i) the directors’ and officers’ liability coverage of AIR’s existing directors’ and officers’ insurance policies and (ii) AIR’s existing fiduciary liability insurance policies, in each case, for a claims reporting or discovery period of three years from and after the Effective Time that shall be from an insurance carrier with the same or better credit rating as AIR’s insurance carrier as of the date hereof with respect to directors’ and officers’ liability insurance and fiduciary liability insurance (collectively, “</w:t>
      </w:r>
      <w:r>
        <w:rPr>
          <w:rFonts w:ascii="Times New Roman PS Std;serif" w:hAnsi="Times New Roman PS Std;serif"/>
          <w:b w:val="false"/>
          <w:i w:val="false"/>
          <w:caps w:val="false"/>
          <w:smallCaps w:val="false"/>
          <w:sz w:val="20"/>
          <w:u w:val="single"/>
        </w:rPr>
        <w:t>D&amp;O Insurance</w:t>
      </w:r>
      <w:r>
        <w:rPr>
          <w:caps w:val="false"/>
          <w:smallCaps w:val="false"/>
        </w:rPr>
        <w:t>”</w:t>
      </w:r>
      <w:r>
        <w:rPr>
          <w:rFonts w:ascii="Times New Roman PS Std;serif" w:hAnsi="Times New Roman PS Std;serif"/>
          <w:b w:val="false"/>
          <w:i w:val="false"/>
          <w:caps w:val="false"/>
          <w:smallCaps w:val="false"/>
          <w:sz w:val="20"/>
        </w:rPr>
        <w:t xml:space="preserve">) with terms, conditions, retentions and limits of liability that are at least as favorable as AIR’s existing policies with respect to matters existing or occurring at or prior to the Effective Time (including in connection with this Agreement, the Merger or the other Transactions). Notwithstanding anything to the contrary contained herein, in no event shall Tenax or AIR after the Effective Time be required to expend for any policies contemplated by this clause (b) an annual premium amount in excess of 300% of the annual premiums currently paid by AIR for such insurance;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 xml:space="preserve">that if the annual premiums of such insurance coverage exceed such amount, after the Effective Time, AIR shall obtain a policy with the greatest coverage available for a cost not exceeding such amount. If such prepaid D&amp;O Insurance has been obtained by AIR prior to the Effective Time, it shall be deemed to satisfy all obligations to obtain insurance pursuant to this </w:t>
      </w:r>
      <w:r>
        <w:rPr>
          <w:rFonts w:ascii="Times New Roman PS Std;serif" w:hAnsi="Times New Roman PS Std;serif"/>
          <w:b w:val="false"/>
          <w:i w:val="false"/>
          <w:caps w:val="false"/>
          <w:smallCaps w:val="false"/>
          <w:sz w:val="20"/>
          <w:u w:val="single"/>
        </w:rPr>
        <w:t>Section 7.05(b)</w:t>
      </w:r>
      <w:r>
        <w:rPr>
          <w:rFonts w:ascii="Times New Roman PS Std;serif" w:hAnsi="Times New Roman PS Std;serif"/>
          <w:b w:val="false"/>
          <w:i w:val="false"/>
          <w:caps w:val="false"/>
          <w:smallCaps w:val="false"/>
          <w:sz w:val="20"/>
        </w:rPr>
        <w:t>, and AIR shall use its reasonable best efforts to cause such D&amp;O Insurance to be maintained in full force and effect, for its full term, and to honor all of its obligations thereunder.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the event AIR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AIR shall assume the obligations set forth in this </w:t>
      </w:r>
      <w:r>
        <w:rPr>
          <w:rFonts w:ascii="Times New Roman PS Std;serif" w:hAnsi="Times New Roman PS Std;serif"/>
          <w:b w:val="false"/>
          <w:i w:val="false"/>
          <w:caps w:val="false"/>
          <w:smallCaps w:val="false"/>
          <w:sz w:val="20"/>
          <w:u w:val="single"/>
        </w:rPr>
        <w:t>Section 7.05</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7.06        </w:t>
      </w:r>
      <w:r>
        <w:rPr>
          <w:rFonts w:ascii="Times New Roman PS Std;serif" w:hAnsi="Times New Roman PS Std;serif"/>
          <w:b w:val="false"/>
          <w:i w:val="false"/>
          <w:caps w:val="false"/>
          <w:smallCaps w:val="false"/>
          <w:sz w:val="20"/>
          <w:u w:val="single"/>
        </w:rPr>
        <w:t>Notification of Certain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shall give prompt notice to Tenax, and Tenax shall give prompt notice to AIR, of (i) the occurrence, or non-occurrence, of any change, event, fact or development which would reasonably be expected to cause any of their respective representations or warranties contained in this Agreement to become untrue or inaccurate such that the conditions set forth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(ii) any failure of AIR, Tenax or Merger Sub, as the case may be, to comply with or satisfy any covenant, condition or agreement to be complied with or satisfied by it under this Agreement such that the conditions set forth in </w:t>
      </w:r>
      <w:r>
        <w:rPr>
          <w:rFonts w:ascii="Times New Roman PS Std;serif" w:hAnsi="Times New Roman PS Std;serif"/>
          <w:b w:val="false"/>
          <w:i w:val="false"/>
          <w:caps w:val="false"/>
          <w:smallCaps w:val="false"/>
          <w:sz w:val="20"/>
          <w:u w:val="single"/>
        </w:rPr>
        <w:t>Section 8.02(b)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delivery of any notice pursuant to this </w:t>
      </w:r>
      <w:r>
        <w:rPr>
          <w:rFonts w:ascii="Times New Roman PS Std;serif" w:hAnsi="Times New Roman PS Std;serif"/>
          <w:b w:val="false"/>
          <w:i w:val="false"/>
          <w:caps w:val="false"/>
          <w:smallCaps w:val="false"/>
          <w:sz w:val="20"/>
          <w:u w:val="single"/>
        </w:rPr>
        <w:t>Section 7.06</w:t>
      </w:r>
      <w:r>
        <w:rPr>
          <w:caps w:val="false"/>
          <w:smallCaps w:val="false"/>
        </w:rPr>
        <w:t xml:space="preserve"> </w:t>
      </w:r>
      <w:r>
        <w:rPr>
          <w:rFonts w:ascii="Times New Roman PS Std;serif" w:hAnsi="Times New Roman PS Std;serif"/>
          <w:b w:val="false"/>
          <w:i w:val="false"/>
          <w:caps w:val="false"/>
          <w:smallCaps w:val="false"/>
          <w:sz w:val="20"/>
        </w:rPr>
        <w:t>shall not limit or otherwise affect the remedies available hereunder to the party receiving such notice.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AIR shall give prompt notice to Tenax, and Tenax shall give prompt notice to AIR, of (i) any notice or other communication from any Governmental Authority in connection with the Transactions or from any Person alleging that the consent of such Person is or may be required in connection with the Transactions and (ii) any Action commenced or, to its knowledge, threatened in writing relating to or involving or otherwise affecting it or any of its Subsidiaries which, if pending on the Original Execution Date, would have been required to have been disclosed pursuant to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w:t>
      </w:r>
      <w:r>
        <w:rPr>
          <w:rFonts w:ascii="Times New Roman PS Std;serif" w:hAnsi="Times New Roman PS Std;serif"/>
          <w:b w:val="false"/>
          <w:i w:val="false"/>
          <w:caps w:val="false"/>
          <w:smallCaps w:val="false"/>
          <w:sz w:val="20"/>
        </w:rPr>
        <w:t>, as applicable, or which relates to the consummation of the Transactions.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7.07        </w:t>
      </w:r>
      <w:r>
        <w:rPr>
          <w:rFonts w:ascii="Times New Roman PS Std;serif" w:hAnsi="Times New Roman PS Std;serif"/>
          <w:b w:val="false"/>
          <w:i w:val="false"/>
          <w:caps w:val="false"/>
          <w:smallCaps w:val="false"/>
          <w:sz w:val="20"/>
          <w:u w:val="single"/>
        </w:rPr>
        <w:t>Reasonable Best Efforts; Further Action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xml:space="preserve">; (ii) the obtaining of all necessary actions or nonactions and consents from, and the giving of any necessary notices to, Governmental Authorities and the making of all necessary registrations, declarations and filings (including filings that are required or advisable under the HSR Act, and other registrations, declarations and filings with, or notices to, Governmental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Authorities, that may be required under the HSR Act or are required or advisable under other applicable antitrust, competition or pre-merger notification Laws of any jurisdiction (collectively, “</w:t>
      </w:r>
      <w:r>
        <w:rPr>
          <w:rFonts w:ascii="Times New Roman PS Std;serif" w:hAnsi="Times New Roman PS Std;serif"/>
          <w:b w:val="false"/>
          <w:i w:val="false"/>
          <w:caps w:val="false"/>
          <w:smallCaps w:val="false"/>
          <w:sz w:val="20"/>
          <w:u w:val="single"/>
        </w:rPr>
        <w:t>Antitrust Laws</w:t>
      </w:r>
      <w:r>
        <w:rPr>
          <w:caps w:val="false"/>
          <w:smallCaps w:val="false"/>
        </w:rPr>
        <w:t>”</w:t>
      </w:r>
      <w:r>
        <w:rPr>
          <w:rFonts w:ascii="Times New Roman PS Std;serif" w:hAnsi="Times New Roman PS Std;serif"/>
          <w:b w:val="false"/>
          <w:i w:val="false"/>
          <w:caps w:val="false"/>
          <w:smallCaps w:val="false"/>
          <w:sz w:val="20"/>
        </w:rPr>
        <w:t>), if any); (iii) the taking of all reasonable steps to provide any supplemental information requested by any Governmental Authority, including participating in meetings with officials of such entity in the course of its review of this Agreement or the Transactions, including the Merger; (iv) the taking of all reasonable steps as may be necessary to avoid any Action by any Governmental Authority or third party that would otherwise have the effect of materially delaying or preventing the consummation of the Merger; and (v)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each of AIR and the AIR Board shall, if any state takeover statute or similar statute or regulation is or becomes applicable to this Agreement or any of the Transactions, take all actions necessary to ensure that the Transactions may be consummated as promptly as practicable on the terms contemplated by this Agreement and otherwise to minimize the effect of such statute or regulation on this Agreement and the Transactions, including the Merger, contemplated by this Agreement. Notwithstanding the foregoing or any other provision of this Agreement to the contrary, in no event shall Tenax or its Affiliates (including, after the Effective Time, AIR and its Subsidiaries) be required to agree to or accept (A) any prohibition of or limitation on its or their ownership, or any limitation that would affect its or their operation, of any portion of their respective businesses or assets, including after giving effect to the Transactions; (B) any commitment, undertaking or Order to divest, hold separate or otherwise dispose of any portion of its or their respective businesses or assets, including after giving effect to the Transactions; (C) any limitation on the ability of the Tenax Members to acquire or hold or exercise full rights of ownership of any capital stock of AIR or its Subsidiaries, including after giving effect to the Transactions; or (D) any other limitation on its or their ability to, or the manner in which they, operate, conduct or control their respective businesses or operations, including after giving effect to the Transactions (any such action or limitation described in clauses (A) through (D), a “</w:t>
      </w:r>
      <w:r>
        <w:rPr>
          <w:rFonts w:ascii="Times New Roman PS Std;serif" w:hAnsi="Times New Roman PS Std;serif"/>
          <w:b w:val="false"/>
          <w:i w:val="false"/>
          <w:caps w:val="false"/>
          <w:smallCaps w:val="false"/>
          <w:sz w:val="20"/>
          <w:u w:val="single"/>
        </w:rPr>
        <w:t>Restriction</w:t>
      </w:r>
      <w:r>
        <w:rPr>
          <w:caps w:val="false"/>
          <w:smallCaps w:val="false"/>
        </w:rPr>
        <w:t>”</w:t>
      </w:r>
      <w:r>
        <w:rPr>
          <w:rFonts w:ascii="Times New Roman PS Std;serif" w:hAnsi="Times New Roman PS Std;serif"/>
          <w:b w:val="false"/>
          <w:i w:val="false"/>
          <w:caps w:val="false"/>
          <w:smallCaps w:val="false"/>
          <w:sz w:val="20"/>
        </w:rPr>
        <w:t>). Notwithstanding the foregoing or any other provision of this Agreement to the contrary, in no event shall Tenax or any of its Affiliates be obligated to (x) litigate or participate in the litigation of any administrative Action before the United States Federal Trade Commission in connection with obtaining the expiration of the waiting period under the HSR Act or any consent from a Governmental Authority under Antitrust Laws in the United States in connection with the transactions contemplated by this Agreement or (y) challenge the decision of any Governmental Authority under Antitrust Laws in any jurisdiction other than the United States.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Notwithstanding anything to the contrary herein, Tenax shall determine the strategy to be pursued for obtaining and lead the effort to obtain all necessary actions or nonactions and consents from Governmental Authorities in connection with the Transactions contemplated by this Agreement, and AIR shall take all reasonable actions to support Tenax in connection therewith. Each of Tenax and AIR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 (ii) not extend any waiting or suspension period under any applicable Antitrust Laws or enter into any agreement with any Governmental Authority not to consummate the Merger,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Tenax and AIR shall (A) promptly notify the other party of any written or oral communication to that party or its Subsidiaries or Representatives from any Governmental Authority regarding the parties’ collaborative efforts to obtain consents to the Merger under Antitrust Laws; (B) 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 under Antitrust Laws unless it consults with the other party in advance and, to the extent permitted by such Governmental Authority and reasonably practicable, gives the other party the opportunity to attend and participate. Without limiting the foregoing, neither party shall make any filings, submissions or substantive written communications to any Governmental Authority to obtain consents to the Merger under Antitrust Laws without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covenant and agree to incorporate all reasonable comments of the other party (or as appropriate such party’s outside counsel) with respect to such filings, submissions and communications prior to delivery of the same to any Governmental Authority.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7.08        </w:t>
      </w:r>
      <w:r>
        <w:rPr>
          <w:rFonts w:ascii="Times New Roman PS Std;serif" w:hAnsi="Times New Roman PS Std;serif"/>
          <w:b w:val="false"/>
          <w:i w:val="false"/>
          <w:caps w:val="false"/>
          <w:smallCaps w:val="false"/>
          <w:sz w:val="20"/>
          <w:u w:val="single"/>
        </w:rPr>
        <w:t>Obligations of Merger Sub</w:t>
      </w:r>
      <w:r>
        <w:rPr>
          <w:rFonts w:ascii="Times New Roman PS Std;serif" w:hAnsi="Times New Roman PS Std;serif"/>
          <w:b w:val="false"/>
          <w:i w:val="false"/>
          <w:caps w:val="false"/>
          <w:smallCaps w:val="false"/>
          <w:sz w:val="20"/>
        </w:rPr>
        <w:t>. AIR shall take all action necessary to cause Merger Sub to perform its obligations under this Agreement and to consummate the Merger on the terms and subject to the conditions set forth in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7.09        </w:t>
      </w:r>
      <w:r>
        <w:rPr>
          <w:rFonts w:ascii="Times New Roman PS Std;serif" w:hAnsi="Times New Roman PS Std;serif"/>
          <w:b w:val="false"/>
          <w:i w:val="false"/>
          <w:caps w:val="false"/>
          <w:smallCaps w:val="false"/>
          <w:sz w:val="20"/>
          <w:u w:val="single"/>
        </w:rPr>
        <w:t>Consents of Accountants</w:t>
      </w:r>
      <w:r>
        <w:rPr>
          <w:rFonts w:ascii="Times New Roman PS Std;serif" w:hAnsi="Times New Roman PS Std;serif"/>
          <w:b w:val="false"/>
          <w:i w:val="false"/>
          <w:caps w:val="false"/>
          <w:smallCaps w:val="false"/>
          <w:sz w:val="20"/>
        </w:rPr>
        <w:t>. AIR and Tenax will each use their respective reasonable best efforts to cause to be delivered to each other consents from their respective independent auditors, in form reasonably satisfactory to the recipient and customary in scope and substance for consents delivered by independent public accountants in connection with registration statements on Form S 4 under the Securities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7.10        </w:t>
      </w:r>
      <w:r>
        <w:rPr>
          <w:rFonts w:ascii="Times New Roman PS Std;serif" w:hAnsi="Times New Roman PS Std;serif"/>
          <w:b w:val="false"/>
          <w:i w:val="false"/>
          <w:caps w:val="false"/>
          <w:smallCaps w:val="false"/>
          <w:sz w:val="20"/>
          <w:u w:val="single"/>
        </w:rPr>
        <w:t>Listing</w:t>
      </w:r>
      <w:r>
        <w:rPr>
          <w:rFonts w:ascii="Times New Roman PS Std;serif" w:hAnsi="Times New Roman PS Std;serif"/>
          <w:b w:val="false"/>
          <w:i w:val="false"/>
          <w:caps w:val="false"/>
          <w:smallCaps w:val="false"/>
          <w:sz w:val="20"/>
        </w:rPr>
        <w:t>. AIR shall use its reasonable best efforts to cause the shares of AIR Common Stock to be issued in the Merger to be approved for listing on the NYSE American, subject to official notice of issuance, and Tenax shall cooperate with AIR to the extent reasonably necessary with respect to such listing.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7.11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xml:space="preserve">. The initial press release relating to the Transactions shall be a joint press release, the text of which has been agreed to by each of Tenax and AIR. Thereafter, unless otherwise required by applicable Law or the requirements of applicable stock exchanges, Tenax and AIR shall each use its reasonable best efforts to consult with the other before issuing, and give each other the opportunity to review and comment upon, any press release or notice to shareholders, or otherwise making any public statements with respect to this Agreement, the Merger or any of the other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each of Tenax and AIR may make public statements that do not contain any information relating to the Transactions that has not been previously announced or made public in accordance with this Agreement and do not reveal material, nonpublic information regarding the other party.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7.12        </w:t>
      </w:r>
      <w:r>
        <w:rPr>
          <w:rFonts w:ascii="Times New Roman PS Std;serif" w:hAnsi="Times New Roman PS Std;serif"/>
          <w:b w:val="false"/>
          <w:i w:val="false"/>
          <w:caps w:val="false"/>
          <w:smallCaps w:val="false"/>
          <w:sz w:val="20"/>
          <w:u w:val="single"/>
        </w:rPr>
        <w:t>Certain 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shall deliver to AIR on or no more than 30 days prior to the Closing Date a properly executed certificate meeting the requirements of Treasury Regulations Section 1.1445-11T and in a form and substance reasonably satisfactory to AIR, which certifies that (i) fifty percent or more of the value of the gross assets of Tenax do not constitute “United States real property holding interests” within the meaning of Section 897(c)(1) of the Code or (ii) ninety percent or more of the value of the gross assets of Tenax do not consist of United States real property holding interests plus cash or cash equivalents.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AIR shall prepare and timely file, or cause to be prepared and timely filed, each income Tax Return filed by or with respect to Tenax or any of its Subsidiaries after the Closing, to the extent that items reflected on such Tax Return also are reflected on the Tax Returns of one or more Tenax Members (or direct or indirect owners thereof) as a result of the status of Tenax as a partnership or a disregarded entity for U.S. federal income Tax purposes (or, as applicable, state or local income Tax purposes) for any taxable year or period thereof that ends on or before the Closing Date (any such Tax Return, a “</w:t>
      </w:r>
      <w:r>
        <w:rPr>
          <w:rFonts w:ascii="Times New Roman PS Std;serif" w:hAnsi="Times New Roman PS Std;serif"/>
          <w:b w:val="false"/>
          <w:i w:val="false"/>
          <w:caps w:val="false"/>
          <w:smallCaps w:val="false"/>
          <w:sz w:val="20"/>
          <w:u w:val="single"/>
        </w:rPr>
        <w:t>Pass-Through Tax Return</w:t>
      </w:r>
      <w:r>
        <w:rPr>
          <w:caps w:val="false"/>
          <w:smallCaps w:val="false"/>
        </w:rPr>
        <w:t>”</w:t>
      </w:r>
      <w:r>
        <w:rPr>
          <w:rFonts w:ascii="Times New Roman PS Std;serif" w:hAnsi="Times New Roman PS Std;serif"/>
          <w:b w:val="false"/>
          <w:i w:val="false"/>
          <w:caps w:val="false"/>
          <w:smallCaps w:val="false"/>
          <w:sz w:val="20"/>
        </w:rPr>
        <w:t>). AIR shall provide the Tenax Nominee with a draft copy of each Pass-Through Tax Return at least thirty (30) days before the due date for the filing of such Pass-Through Tax Return (including extensions thereof) for the Tenax Nominee’s review and comment and shall incorporate the Tenax Nominee’s reasonable comments.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AIR and its Affiliates shall promptly notify the Tenax Nominee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PS Std;serif" w:hAnsi="Times New Roman PS Std;serif"/>
          <w:b w:val="false"/>
          <w:i w:val="false"/>
          <w:caps w:val="false"/>
          <w:smallCaps w:val="false"/>
          <w:sz w:val="20"/>
          <w:u w:val="single"/>
        </w:rPr>
        <w:t>Pass-Through Tax Matter</w:t>
      </w:r>
      <w:r>
        <w:rPr>
          <w:caps w:val="false"/>
          <w:smallCaps w:val="false"/>
        </w:rPr>
        <w:t>”</w:t>
      </w:r>
      <w:r>
        <w:rPr>
          <w:rFonts w:ascii="Times New Roman PS Std;serif" w:hAnsi="Times New Roman PS Std;serif"/>
          <w:b w:val="false"/>
          <w:i w:val="false"/>
          <w:caps w:val="false"/>
          <w:smallCaps w:val="false"/>
          <w:sz w:val="20"/>
        </w:rPr>
        <w:t>). AIR, Tenax, the Tenax Nominee and their respective Affiliates shall cooperate fully in connection with any Pass-Through Tax Matter, including by retaining and providing, at the reasonable request of the other party, records or other information reasonably relevant to such Pass-Through Tax Matter. In no event shall AIR, Tenax or the Tenax Nominee make an election under Section 6226 of the Code, use any procedure described in Section 6225(c)(2) of the Code or take any other action causing the Tenax Members to bear any Taxes imposed on Tenax or its Subsidiaries as a result of a Pass-Through Tax Matter.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Without the express written consent of the Tenax Nominee, neither AIR nor any of its Affiliates shall (i) make any income Tax election after the Closing with respect to Tenax, which election is effective on or before Closing Date, (ii) amend any income Tax Return of Tenax in respect of any taxable period ending on or before the Closing Date (including any Pass-Through Tax Return) or (iii) make any voluntary disclosures to, or initiate discussions or examinations with, Governmental Authority regarding Taxes with respect to any Pass-Through Tax Return (or the Taxes relating to any Pass-Through Tax Return) for a Tax period ending on or before or otherwise including the Closing Date, in each case, to the extent such Tax election, amendment or action would reasonably be expected to affect Taxes of any Tenax Member.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7.13        </w:t>
      </w:r>
      <w:r>
        <w:rPr>
          <w:rFonts w:ascii="Times New Roman PS Std;serif" w:hAnsi="Times New Roman PS Std;serif"/>
          <w:b w:val="false"/>
          <w:i w:val="false"/>
          <w:caps w:val="false"/>
          <w:smallCaps w:val="false"/>
          <w:sz w:val="20"/>
          <w:u w:val="single"/>
        </w:rPr>
        <w:t>Payoff Letters</w:t>
      </w:r>
      <w:r>
        <w:rPr>
          <w:rFonts w:ascii="Times New Roman PS Std;serif" w:hAnsi="Times New Roman PS Std;serif"/>
          <w:b w:val="false"/>
          <w:i w:val="false"/>
          <w:caps w:val="false"/>
          <w:smallCaps w:val="false"/>
          <w:sz w:val="20"/>
        </w:rPr>
        <w:t>. AIR shall (a) deliver to Tenax at or prior to the Closing executed payoff letters in customary form reasonably satisfactory to Tenax (the “</w:t>
      </w:r>
      <w:r>
        <w:rPr>
          <w:rFonts w:ascii="Times New Roman PS Std;serif" w:hAnsi="Times New Roman PS Std;serif"/>
          <w:b w:val="false"/>
          <w:i w:val="false"/>
          <w:caps w:val="false"/>
          <w:smallCaps w:val="false"/>
          <w:sz w:val="20"/>
          <w:u w:val="single"/>
        </w:rPr>
        <w:t>Payoff Letters</w:t>
      </w:r>
      <w:r>
        <w:rPr>
          <w:caps w:val="false"/>
          <w:smallCaps w:val="false"/>
        </w:rPr>
        <w:t>”</w:t>
      </w:r>
      <w:r>
        <w:rPr>
          <w:rFonts w:ascii="Times New Roman PS Std;serif" w:hAnsi="Times New Roman PS Std;serif"/>
          <w:b w:val="false"/>
          <w:i w:val="false"/>
          <w:caps w:val="false"/>
          <w:smallCaps w:val="false"/>
          <w:sz w:val="20"/>
        </w:rPr>
        <w:t xml:space="preserve">) in respect of the Indebtedness listed on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of the AIR Disclosure Letter (the “</w:t>
      </w:r>
      <w:r>
        <w:rPr>
          <w:rFonts w:ascii="Times New Roman PS Std;serif" w:hAnsi="Times New Roman PS Std;serif"/>
          <w:b w:val="false"/>
          <w:i w:val="false"/>
          <w:caps w:val="false"/>
          <w:smallCaps w:val="false"/>
          <w:sz w:val="20"/>
          <w:u w:val="single"/>
        </w:rPr>
        <w:t>Payoff Debt</w:t>
      </w:r>
      <w:r>
        <w:rPr>
          <w:caps w:val="false"/>
          <w:smallCaps w:val="false"/>
        </w:rPr>
        <w:t>”</w:t>
      </w:r>
      <w:r>
        <w:rPr>
          <w:rFonts w:ascii="Times New Roman PS Std;serif" w:hAnsi="Times New Roman PS Std;serif"/>
          <w:b w:val="false"/>
          <w:i w:val="false"/>
          <w:caps w:val="false"/>
          <w:smallCaps w:val="false"/>
          <w:sz w:val="20"/>
        </w:rPr>
        <w:t>), which Payoff Letters shall (i) indicate the total amount required to be paid to fully satisfy all principal, interest, prepayment premiums, penalties, breakage costs or similar obligations, as applicable, related to any obligations under the Payoff Debt as of the anticipated Closing Date (and the daily accrual thereafter) (the “</w:t>
      </w:r>
      <w:r>
        <w:rPr>
          <w:rFonts w:ascii="Times New Roman PS Std;serif" w:hAnsi="Times New Roman PS Std;serif"/>
          <w:b w:val="false"/>
          <w:i w:val="false"/>
          <w:caps w:val="false"/>
          <w:smallCaps w:val="false"/>
          <w:sz w:val="20"/>
          <w:u w:val="single"/>
        </w:rPr>
        <w:t>Payoff Amount</w:t>
      </w:r>
      <w:r>
        <w:rPr>
          <w:caps w:val="false"/>
          <w:smallCaps w:val="false"/>
        </w:rPr>
        <w:t>”</w:t>
      </w:r>
      <w:r>
        <w:rPr>
          <w:rFonts w:ascii="Times New Roman PS Std;serif" w:hAnsi="Times New Roman PS Std;serif"/>
          <w:b w:val="false"/>
          <w:i w:val="false"/>
          <w:caps w:val="false"/>
          <w:smallCaps w:val="false"/>
          <w:sz w:val="20"/>
        </w:rPr>
        <w:t xml:space="preserve">) and (ii) state that upon receipt of the Payoff Amount, the applicable Payoff Debt and related instruments evidencing such Payoff Debt shall be terminated (except for provisions in the documentation relating to such Payoff Debt that, by their terms, survive such termination); and (b) make arrangements for the holders of such Payoff Debt (or the administrative agent or similar agent therefor) to deliver to Tenax at or as soon as practicable after the Closing all possessory collateral then in its possession and all lien release documents and filings with respect to all liens in or upon the assets or properties of AIR and its Subsidiaries securing such Payoff Debt;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this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shall not require AIR or any of its Subsidiaries to cause such repayment, release and termination unless the Closing shall occur substantially concurrently therewith.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7.14        </w:t>
      </w:r>
      <w:r>
        <w:rPr>
          <w:rFonts w:ascii="Times New Roman PS Std;serif" w:hAnsi="Times New Roman PS Std;serif"/>
          <w:b w:val="false"/>
          <w:i w:val="false"/>
          <w:caps w:val="false"/>
          <w:smallCaps w:val="false"/>
          <w:sz w:val="20"/>
          <w:u w:val="single"/>
        </w:rPr>
        <w:t>Anti-Takeover Statutes</w:t>
      </w:r>
      <w:r>
        <w:rPr>
          <w:rFonts w:ascii="Times New Roman PS Std;serif" w:hAnsi="Times New Roman PS Std;serif"/>
          <w:b w:val="false"/>
          <w:i w:val="false"/>
          <w:caps w:val="false"/>
          <w:smallCaps w:val="false"/>
          <w:sz w:val="20"/>
        </w:rPr>
        <w:t>. AIR and the AIR Board shall: (a) grant such approvals and take all actions necessary so that no “business combination”, “control share acquisition”, “fair price”, “moratorium” or other anti-takeover or similar Laws (including NRS 78.411-78.444, inclusive, and NRS 78.378-78.3793, inclusive) become applicable to this Agreement or the Transactions, including the Merger,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7.15        </w:t>
      </w:r>
      <w:r>
        <w:rPr>
          <w:rFonts w:ascii="Times New Roman PS Std;serif" w:hAnsi="Times New Roman PS Std;serif"/>
          <w:b w:val="false"/>
          <w:i w:val="false"/>
          <w:caps w:val="false"/>
          <w:smallCaps w:val="false"/>
          <w:sz w:val="20"/>
          <w:u w:val="single"/>
        </w:rPr>
        <w:t>Stockholder Litigation</w:t>
      </w:r>
      <w:r>
        <w:rPr>
          <w:rFonts w:ascii="Times New Roman PS Std;serif" w:hAnsi="Times New Roman PS Std;serif"/>
          <w:b w:val="false"/>
          <w:i w:val="false"/>
          <w:caps w:val="false"/>
          <w:smallCaps w:val="false"/>
          <w:sz w:val="20"/>
        </w:rPr>
        <w:t>. From and after the date hereof, AIR shall promptly advise Tenax orally and in writing of any Actions (including derivative claims) commenced or, to the knowledge of AIR, threatened against AIR and/or its directors or executive officers relating to this Agreement, the Merger and/or the other Transactions contemplated hereby and shall keep Tenax promptly and reasonably informed regarding any such Action. AIR shall give Tenax the opportunity to participate in the defense or settlement of any such Action and shall give due consideration to Tenax’s views with respect thereto. AIR shall not agree to any settlement of any such Action without Tenax’s prior written consent (such consent not to be unreasonably withheld, conditioned or delayed).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7.16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Effective Time, the AIR Board shall take all such actions as may be necessary or appropriate to cause any acquisitions of AIR Common Stock (including derivative securities related to AIR Common Stock) by any individual who shall become subject to the reporting requirements of Section 16(a) of the Exchange Act as a result of the Transactions to be exempt under Rule 16b-3 under the Exchange Act, to the extent permitted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7.17        </w:t>
      </w:r>
      <w:r>
        <w:rPr>
          <w:rFonts w:ascii="Times New Roman PS Std;serif" w:hAnsi="Times New Roman PS Std;serif"/>
          <w:b w:val="false"/>
          <w:i w:val="false"/>
          <w:caps w:val="false"/>
          <w:smallCaps w:val="false"/>
          <w:sz w:val="20"/>
          <w:u w:val="single"/>
        </w:rPr>
        <w:t>Redemption Rights Agreement</w:t>
      </w:r>
      <w:r>
        <w:rPr>
          <w:rFonts w:ascii="Times New Roman PS Std;serif" w:hAnsi="Times New Roman PS Std;serif"/>
          <w:b w:val="false"/>
          <w:i w:val="false"/>
          <w:caps w:val="false"/>
          <w:smallCaps w:val="false"/>
          <w:sz w:val="20"/>
        </w:rPr>
        <w:t>. At or prior to the Effective Time, AIR shall duly adopt, execute and deliver the Redemption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7.18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At or prior to the Effective Time, AIR and the Tenax Members shall duly adopt, execute and deliver the Registration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7.19        </w:t>
      </w:r>
      <w:r>
        <w:rPr>
          <w:rFonts w:ascii="Times New Roman PS Std;serif" w:hAnsi="Times New Roman PS Std;serif"/>
          <w:b w:val="false"/>
          <w:i w:val="false"/>
          <w:caps w:val="false"/>
          <w:smallCaps w:val="false"/>
          <w:sz w:val="20"/>
          <w:u w:val="single"/>
        </w:rPr>
        <w:t>Resignations and Replacement of Directors</w:t>
      </w:r>
      <w:r>
        <w:rPr>
          <w:rFonts w:ascii="Times New Roman PS Std;serif" w:hAnsi="Times New Roman PS Std;serif"/>
          <w:b w:val="false"/>
          <w:i w:val="false"/>
          <w:caps w:val="false"/>
          <w:smallCaps w:val="false"/>
          <w:sz w:val="20"/>
        </w:rPr>
        <w:t>. At or prior to the Closing, AIR shall deliver to Tenax written resignation and release letters, effective as of the Closing Date, of each of the directors and officers of AIR requested by Tenax in writing at least five Business Days prior to the Closing, effectuating his or her resignation from such position as a member of the AIR Board or as an officer (although not as an employee, if applicable, unless otherwise so requested by Tenax), in form and substance reasonably satisfactory to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7.20        </w:t>
      </w:r>
      <w:r>
        <w:rPr>
          <w:rFonts w:ascii="Times New Roman PS Std;serif" w:hAnsi="Times New Roman PS Std;serif"/>
          <w:b w:val="false"/>
          <w:i w:val="false"/>
          <w:caps w:val="false"/>
          <w:smallCaps w:val="false"/>
          <w:sz w:val="20"/>
          <w:u w:val="single"/>
        </w:rPr>
        <w:t>AIR Charter Amendment and AIR Reverse Stock Split</w:t>
      </w:r>
      <w:r>
        <w:rPr>
          <w:rFonts w:ascii="Times New Roman PS Std;serif" w:hAnsi="Times New Roman PS Std;serif"/>
          <w:b w:val="false"/>
          <w:i w:val="false"/>
          <w:caps w:val="false"/>
          <w:smallCaps w:val="false"/>
          <w:sz w:val="20"/>
        </w:rPr>
        <w:t>.  Promptly following the receipt of the AIR Stockholder Approvals, AIR shall cause the AIR Charter Amendment to be filed with the Nevada Secretary of State in such form as required by, and executed in accordance with, the relevant provisions of the NRS (the date and time of the filing of the AIR Charter Amendment  with the Nevada Secretary of State, or such later time permitted under the NRS as is specified in the AIR Charter Amendment and as is agreed to by AIR and Tenax in writing, being the “</w:t>
      </w:r>
      <w:r>
        <w:rPr>
          <w:rFonts w:ascii="Times New Roman PS Std;serif" w:hAnsi="Times New Roman PS Std;serif"/>
          <w:b w:val="false"/>
          <w:i w:val="false"/>
          <w:caps w:val="false"/>
          <w:smallCaps w:val="false"/>
          <w:sz w:val="20"/>
          <w:u w:val="single"/>
        </w:rPr>
        <w:t>Charter Amendment Effective Time</w:t>
      </w:r>
      <w:r>
        <w:rPr>
          <w:caps w:val="false"/>
          <w:smallCaps w:val="false"/>
        </w:rPr>
        <w:t>”</w:t>
      </w:r>
      <w:r>
        <w:rPr>
          <w:rFonts w:ascii="Times New Roman PS Std;serif" w:hAnsi="Times New Roman PS Std;serif"/>
          <w:b w:val="false"/>
          <w:i w:val="false"/>
          <w:caps w:val="false"/>
          <w:smallCaps w:val="false"/>
          <w:sz w:val="20"/>
        </w:rPr>
        <w:t>).  Promptly following the Charter Amendment Effective Time, AIR shall cause the AIR Certificate of Change effecting the AIR Reverse Stock Split to be filed with the Nevada Secretary of State in such form as required by, and executed in accordance with, the relevant provisions of the NRS.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VIII</w:t>
        <w:br/>
        <w:br/>
        <w:t>CONDITIONS TO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8.01        </w:t>
      </w:r>
      <w:r>
        <w:rPr>
          <w:rFonts w:ascii="Times New Roman PS Std;serif" w:hAnsi="Times New Roman PS Std;serif"/>
          <w:b w:val="false"/>
          <w:i w:val="false"/>
          <w:caps w:val="false"/>
          <w:smallCaps w:val="false"/>
          <w:sz w:val="20"/>
          <w:u w:val="single"/>
        </w:rPr>
        <w:t>Conditions to the Obligations of Each Party</w:t>
      </w:r>
      <w:r>
        <w:rPr>
          <w:rFonts w:ascii="Times New Roman PS Std;serif" w:hAnsi="Times New Roman PS Std;serif"/>
          <w:b w:val="false"/>
          <w:i w:val="false"/>
          <w:caps w:val="false"/>
          <w:smallCaps w:val="false"/>
          <w:sz w:val="20"/>
        </w:rPr>
        <w:t>. The respective obligations of Tenax, AIR and Merger Sub to consummate the Merger are subject to the satisfaction or written waiver (where permissible under applicable Law) at or prior to the Effective Time of the following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Registration Statement shall have become effective under the Securities Act and no stop order suspending the effectiveness of the Registration Statement shall have been issued by the SEC and no proceeding for that purpose shall be pending before the SEC.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Stockholder Approvals</w:t>
      </w:r>
      <w:r>
        <w:rPr>
          <w:rFonts w:ascii="Times New Roman PS Std;serif" w:hAnsi="Times New Roman PS Std;serif"/>
          <w:b w:val="false"/>
          <w:i w:val="false"/>
          <w:caps w:val="false"/>
          <w:smallCaps w:val="false"/>
          <w:sz w:val="20"/>
        </w:rPr>
        <w:t>. The AIR Stockholder Approvals shall have been obtained in accordance with the NRS and AIR’s articles of incorporation and bylaws.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Order</w:t>
      </w:r>
      <w:r>
        <w:rPr>
          <w:rFonts w:ascii="Times New Roman PS Std;serif" w:hAnsi="Times New Roman PS Std;serif"/>
          <w:b w:val="false"/>
          <w:i w:val="false"/>
          <w:caps w:val="false"/>
          <w:smallCaps w:val="false"/>
          <w:sz w:val="20"/>
        </w:rPr>
        <w:t>. No Governmental Authority shall have enacted, issued, promulgated, enforced or entered any Law, whether temporary, preliminary or permanent, which is then in effect and has the effect of enjoining, restraining, prohibiting or otherwise preventing the consummation of the Transactions (collectively, a “</w:t>
      </w:r>
      <w:r>
        <w:rPr>
          <w:rFonts w:ascii="Times New Roman PS Std;serif" w:hAnsi="Times New Roman PS Std;serif"/>
          <w:b w:val="false"/>
          <w:i w:val="false"/>
          <w:caps w:val="false"/>
          <w:smallCaps w:val="false"/>
          <w:sz w:val="20"/>
          <w:u w:val="single"/>
        </w:rPr>
        <w:t>Restraint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Regulatory Approvals</w:t>
      </w:r>
      <w:r>
        <w:rPr>
          <w:rFonts w:ascii="Times New Roman PS Std;serif" w:hAnsi="Times New Roman PS Std;serif"/>
          <w:b w:val="false"/>
          <w:i w:val="false"/>
          <w:caps w:val="false"/>
          <w:smallCaps w:val="false"/>
          <w:sz w:val="20"/>
        </w:rPr>
        <w:t xml:space="preserve">. (i) Any waiting period (and any extension thereof) applicable to the consummation of the Merger under the HSR Act shall have expired or been terminated and (ii) any approval or waiting period with respect to those jurisdictions set forth in </w:t>
      </w:r>
      <w:r>
        <w:rPr>
          <w:rFonts w:ascii="Times New Roman PS Std;serif" w:hAnsi="Times New Roman PS Std;serif"/>
          <w:b w:val="false"/>
          <w:i w:val="false"/>
          <w:caps w:val="false"/>
          <w:smallCaps w:val="false"/>
          <w:sz w:val="20"/>
          <w:u w:val="single"/>
        </w:rPr>
        <w:t>Section 8.01(d)</w:t>
      </w:r>
      <w:r>
        <w:rPr>
          <w:caps w:val="false"/>
          <w:smallCaps w:val="false"/>
        </w:rPr>
        <w:t xml:space="preserve"> </w:t>
      </w:r>
      <w:r>
        <w:rPr>
          <w:rFonts w:ascii="Times New Roman PS Std;serif" w:hAnsi="Times New Roman PS Std;serif"/>
          <w:b w:val="false"/>
          <w:i w:val="false"/>
          <w:caps w:val="false"/>
          <w:smallCaps w:val="false"/>
          <w:sz w:val="20"/>
        </w:rPr>
        <w:t>of the AIR Disclosure Letter shall have been obtained or terminated or shall have expired.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NYSE American Listing</w:t>
      </w:r>
      <w:r>
        <w:rPr>
          <w:rFonts w:ascii="Times New Roman PS Std;serif" w:hAnsi="Times New Roman PS Std;serif"/>
          <w:b w:val="false"/>
          <w:i w:val="false"/>
          <w:caps w:val="false"/>
          <w:smallCaps w:val="false"/>
          <w:sz w:val="20"/>
        </w:rPr>
        <w:t>. The shares of AIR Common Stock to be issued in the Merger shall have been authorized for listing on the NYSE American, subject to official notice of issuance.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Required Tenax Member Approval</w:t>
      </w:r>
      <w:r>
        <w:rPr>
          <w:rFonts w:ascii="Times New Roman PS Std;serif" w:hAnsi="Times New Roman PS Std;serif"/>
          <w:b w:val="false"/>
          <w:i w:val="false"/>
          <w:caps w:val="false"/>
          <w:smallCaps w:val="false"/>
          <w:sz w:val="20"/>
        </w:rPr>
        <w:t>. The Required Tenax Member Approval shall have been obtained.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8.02        </w:t>
      </w:r>
      <w:r>
        <w:rPr>
          <w:rFonts w:ascii="Times New Roman PS Std;serif" w:hAnsi="Times New Roman PS Std;serif"/>
          <w:b w:val="false"/>
          <w:i w:val="false"/>
          <w:caps w:val="false"/>
          <w:smallCaps w:val="false"/>
          <w:sz w:val="20"/>
          <w:u w:val="single"/>
        </w:rPr>
        <w:t>Conditions to the Obligations of Tenax</w:t>
      </w:r>
      <w:r>
        <w:rPr>
          <w:rFonts w:ascii="Times New Roman PS Std;serif" w:hAnsi="Times New Roman PS Std;serif"/>
          <w:b w:val="false"/>
          <w:i w:val="false"/>
          <w:caps w:val="false"/>
          <w:smallCaps w:val="false"/>
          <w:sz w:val="20"/>
        </w:rPr>
        <w:t>. The obligations of Tenax to consummate the Merger are subject to the satisfaction or written waiver (where permissible under applicable Law) at or prior to the Effective Time of the following additional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AIR and Merger Sub set forth in the first sentence of </w:t>
      </w:r>
      <w:r>
        <w:rPr>
          <w:rFonts w:ascii="Times New Roman PS Std;serif" w:hAnsi="Times New Roman PS Std;serif"/>
          <w:b w:val="false"/>
          <w:i w:val="false"/>
          <w:caps w:val="false"/>
          <w:smallCaps w:val="false"/>
          <w:sz w:val="20"/>
          <w:u w:val="single"/>
        </w:rPr>
        <w:t>Section 4.07</w:t>
      </w:r>
      <w:r>
        <w:rPr>
          <w:caps w:val="false"/>
          <w:smallCaps w:val="false"/>
        </w:rPr>
        <w:t xml:space="preserve"> </w:t>
      </w:r>
      <w:r>
        <w:rPr>
          <w:rFonts w:ascii="Times New Roman PS Std;serif" w:hAnsi="Times New Roman PS Std;serif"/>
          <w:b w:val="false"/>
          <w:i w:val="false"/>
          <w:caps w:val="false"/>
          <w:smallCaps w:val="false"/>
          <w:sz w:val="20"/>
        </w:rPr>
        <w:t xml:space="preserve">(Absence of Certain Changes or Events) shall be true, correct and complete in all respects, (ii) the representations and warranties of AIR and Merger Sub set forth in </w:t>
      </w:r>
      <w:r>
        <w:rPr>
          <w:rFonts w:ascii="Times New Roman PS Std;serif" w:hAnsi="Times New Roman PS Std;serif"/>
          <w:b w:val="false"/>
          <w:i w:val="false"/>
          <w:caps w:val="false"/>
          <w:smallCaps w:val="false"/>
          <w:sz w:val="20"/>
          <w:u w:val="single"/>
        </w:rPr>
        <w:t>Section 4.02</w:t>
      </w:r>
      <w:r>
        <w:rPr>
          <w:caps w:val="false"/>
          <w:smallCaps w:val="false"/>
        </w:rPr>
        <w:t xml:space="preserve"> </w:t>
      </w:r>
      <w:r>
        <w:rPr>
          <w:rFonts w:ascii="Times New Roman PS Std;serif" w:hAnsi="Times New Roman PS Std;serif"/>
          <w:b w:val="false"/>
          <w:i w:val="false"/>
          <w:caps w:val="false"/>
          <w:smallCaps w:val="false"/>
          <w:sz w:val="20"/>
        </w:rPr>
        <w:t xml:space="preserve">(Capitalization) shall be true, correct and complete in all respects (other than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(iii) the representations and warranties of AIR and Merger Sub set forth in </w:t>
      </w:r>
      <w:r>
        <w:rPr>
          <w:rFonts w:ascii="Times New Roman PS Std;serif" w:hAnsi="Times New Roman PS Std;serif"/>
          <w:b w:val="false"/>
          <w:i w:val="false"/>
          <w:caps w:val="false"/>
          <w:smallCaps w:val="false"/>
          <w:sz w:val="20"/>
          <w:u w:val="single"/>
        </w:rPr>
        <w:t>Section 4.01</w:t>
      </w:r>
      <w:r>
        <w:rPr>
          <w:caps w:val="false"/>
          <w:smallCaps w:val="false"/>
        </w:rPr>
        <w:t xml:space="preserve"> </w:t>
      </w:r>
      <w:r>
        <w:rPr>
          <w:rFonts w:ascii="Times New Roman PS Std;serif" w:hAnsi="Times New Roman PS Std;serif"/>
          <w:b w:val="false"/>
          <w:i w:val="false"/>
          <w:caps w:val="false"/>
          <w:smallCaps w:val="false"/>
          <w:sz w:val="20"/>
        </w:rPr>
        <w:t xml:space="preserve">(Organization and Qualification; Subsidiaries), </w:t>
      </w:r>
      <w:r>
        <w:rPr>
          <w:rFonts w:ascii="Times New Roman PS Std;serif" w:hAnsi="Times New Roman PS Std;serif"/>
          <w:b w:val="false"/>
          <w:i w:val="false"/>
          <w:caps w:val="false"/>
          <w:smallCaps w:val="false"/>
          <w:sz w:val="20"/>
          <w:u w:val="single"/>
        </w:rPr>
        <w:t>Section 4.03</w:t>
      </w:r>
      <w:r>
        <w:rPr>
          <w:caps w:val="false"/>
          <w:smallCaps w:val="false"/>
        </w:rPr>
        <w:t xml:space="preserve"> </w:t>
      </w:r>
      <w:r>
        <w:rPr>
          <w:rFonts w:ascii="Times New Roman PS Std;serif" w:hAnsi="Times New Roman PS Std;serif"/>
          <w:b w:val="false"/>
          <w:i w:val="false"/>
          <w:caps w:val="false"/>
          <w:smallCaps w:val="false"/>
          <w:sz w:val="20"/>
        </w:rPr>
        <w:t xml:space="preserve">(Authority Relative to This Agreement), </w:t>
      </w:r>
      <w:r>
        <w:rPr>
          <w:rFonts w:ascii="Times New Roman PS Std;serif" w:hAnsi="Times New Roman PS Std;serif"/>
          <w:b w:val="false"/>
          <w:i w:val="false"/>
          <w:caps w:val="false"/>
          <w:smallCaps w:val="false"/>
          <w:sz w:val="20"/>
          <w:u w:val="single"/>
        </w:rPr>
        <w:t>Section 4.04(a)(i)(A)</w:t>
      </w:r>
      <w:r>
        <w:rPr>
          <w:caps w:val="false"/>
          <w:smallCaps w:val="false"/>
        </w:rPr>
        <w:t xml:space="preserve"> </w:t>
      </w:r>
      <w:r>
        <w:rPr>
          <w:rFonts w:ascii="Times New Roman PS Std;serif" w:hAnsi="Times New Roman PS Std;serif"/>
          <w:b w:val="false"/>
          <w:i w:val="false"/>
          <w:caps w:val="false"/>
          <w:smallCaps w:val="false"/>
          <w:sz w:val="20"/>
        </w:rPr>
        <w:t xml:space="preserve">(No Conflict) and </w:t>
      </w:r>
      <w:r>
        <w:rPr>
          <w:rFonts w:ascii="Times New Roman PS Std;serif" w:hAnsi="Times New Roman PS Std;serif"/>
          <w:b w:val="false"/>
          <w:i w:val="false"/>
          <w:caps w:val="false"/>
          <w:smallCaps w:val="false"/>
          <w:sz w:val="20"/>
          <w:u w:val="single"/>
        </w:rPr>
        <w:t>Section 4.19</w:t>
      </w:r>
      <w:r>
        <w:rPr>
          <w:caps w:val="false"/>
          <w:smallCaps w:val="false"/>
        </w:rPr>
        <w:t xml:space="preserve"> </w:t>
      </w:r>
      <w:r>
        <w:rPr>
          <w:rFonts w:ascii="Times New Roman PS Std;serif" w:hAnsi="Times New Roman PS Std;serif"/>
          <w:b w:val="false"/>
          <w:i w:val="false"/>
          <w:caps w:val="false"/>
          <w:smallCaps w:val="false"/>
          <w:sz w:val="20"/>
        </w:rPr>
        <w:t xml:space="preserve">(Brokers) shall be true, correct and complete in all material respects and (iv) the other representations and warranties of AIR and Merger Sub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shall be true, correct and complete (without giving effect to any “material”, “materiality” or “AIR Material Adverse Effect” qualification contained therein), except where the failure of any such representations and warranties to be so true, correct and complete has not had, and would not reasonably be expected to have, individually or in the aggregate,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Agreements and Covenants</w:t>
      </w:r>
      <w:r>
        <w:rPr>
          <w:rFonts w:ascii="Times New Roman PS Std;serif" w:hAnsi="Times New Roman PS Std;serif"/>
          <w:b w:val="false"/>
          <w:i w:val="false"/>
          <w:caps w:val="false"/>
          <w:smallCaps w:val="false"/>
          <w:sz w:val="20"/>
        </w:rPr>
        <w:t>. AIR and Merger Sub shall have performed or complied in all material respects with the agreements and covenants required by this Agreement to be performed or complied with by it at or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AIR Material Adverse Effect</w:t>
      </w:r>
      <w:r>
        <w:rPr>
          <w:rFonts w:ascii="Times New Roman PS Std;serif" w:hAnsi="Times New Roman PS Std;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AIR shall have delivered to Tenax a certificate, dated the Closing Date, signed by the Chief Executive Officer or Chief Financial Officer of AIR, certifying as to the satisfaction of the conditions specified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Restrictions</w:t>
      </w:r>
      <w:r>
        <w:rPr>
          <w:rFonts w:ascii="Times New Roman PS Std;serif" w:hAnsi="Times New Roman PS Std;serif"/>
          <w:b w:val="false"/>
          <w:i w:val="false"/>
          <w:caps w:val="false"/>
          <w:smallCaps w:val="false"/>
          <w:sz w:val="20"/>
        </w:rPr>
        <w:t>. No Action by any Governmental Authority shall be pending and no Restraint shall be in effect, in each case, which imposes or seeks to impose any Restrictions on Tenax and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Support Agreement</w:t>
      </w:r>
      <w:r>
        <w:rPr>
          <w:rFonts w:ascii="Times New Roman PS Std;serif" w:hAnsi="Times New Roman PS Std;serif"/>
          <w:b w:val="false"/>
          <w:i w:val="false"/>
          <w:caps w:val="false"/>
          <w:smallCaps w:val="false"/>
          <w:sz w:val="20"/>
        </w:rPr>
        <w:t>. The AIR Stockholder Support Agreement shall remain in full force and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8.03        </w:t>
      </w:r>
      <w:r>
        <w:rPr>
          <w:rFonts w:ascii="Times New Roman PS Std;serif" w:hAnsi="Times New Roman PS Std;serif"/>
          <w:b w:val="false"/>
          <w:i w:val="false"/>
          <w:caps w:val="false"/>
          <w:smallCaps w:val="false"/>
          <w:sz w:val="20"/>
          <w:u w:val="single"/>
        </w:rPr>
        <w:t>Conditions to the Obligations of AIR and Merger Sub</w:t>
      </w:r>
      <w:r>
        <w:rPr>
          <w:rFonts w:ascii="Times New Roman PS Std;serif" w:hAnsi="Times New Roman PS Std;serif"/>
          <w:b w:val="false"/>
          <w:i w:val="false"/>
          <w:caps w:val="false"/>
          <w:smallCaps w:val="false"/>
          <w:sz w:val="20"/>
        </w:rPr>
        <w:t>. The obligations of AIR and Merger Sub to consummate the Merger are subject to the satisfaction or written waiver (where permissible under applicable Law) at or prior to the Effective Time of the following additional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Tenax set forth in the first sentence of </w:t>
      </w:r>
      <w:r>
        <w:rPr>
          <w:rFonts w:ascii="Times New Roman PS Std;serif" w:hAnsi="Times New Roman PS Std;serif"/>
          <w:b w:val="false"/>
          <w:i w:val="false"/>
          <w:caps w:val="false"/>
          <w:smallCaps w:val="false"/>
          <w:sz w:val="20"/>
          <w:u w:val="single"/>
        </w:rPr>
        <w:t>Section 5.07</w:t>
      </w:r>
      <w:r>
        <w:rPr>
          <w:caps w:val="false"/>
          <w:smallCaps w:val="false"/>
        </w:rPr>
        <w:t xml:space="preserve"> </w:t>
      </w:r>
      <w:r>
        <w:rPr>
          <w:rFonts w:ascii="Times New Roman PS Std;serif" w:hAnsi="Times New Roman PS Std;serif"/>
          <w:b w:val="false"/>
          <w:i w:val="false"/>
          <w:caps w:val="false"/>
          <w:smallCaps w:val="false"/>
          <w:sz w:val="20"/>
        </w:rPr>
        <w:t xml:space="preserve">(Absence of Certain Changes or Events) shall be true, correct and complete in all respects, (ii) the representations and warranties of Tenax set forth in </w:t>
      </w:r>
      <w:r>
        <w:rPr>
          <w:rFonts w:ascii="Times New Roman PS Std;serif" w:hAnsi="Times New Roman PS Std;serif"/>
          <w:b w:val="false"/>
          <w:i w:val="false"/>
          <w:caps w:val="false"/>
          <w:smallCaps w:val="false"/>
          <w:sz w:val="20"/>
          <w:u w:val="single"/>
        </w:rPr>
        <w:t>Section 5.02</w:t>
      </w:r>
      <w:r>
        <w:rPr>
          <w:caps w:val="false"/>
          <w:smallCaps w:val="false"/>
        </w:rPr>
        <w:t xml:space="preserve"> </w:t>
      </w:r>
      <w:r>
        <w:rPr>
          <w:rFonts w:ascii="Times New Roman PS Std;serif" w:hAnsi="Times New Roman PS Std;serif"/>
          <w:b w:val="false"/>
          <w:i w:val="false"/>
          <w:caps w:val="false"/>
          <w:smallCaps w:val="false"/>
          <w:sz w:val="20"/>
        </w:rPr>
        <w:t xml:space="preserve">(Capitalization) shall be true, correct and complete in all respects (other than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(iii) the representations and warranties of Tenax set forth in </w:t>
      </w:r>
      <w:r>
        <w:rPr>
          <w:rFonts w:ascii="Times New Roman PS Std;serif" w:hAnsi="Times New Roman PS Std;serif"/>
          <w:b w:val="false"/>
          <w:i w:val="false"/>
          <w:caps w:val="false"/>
          <w:smallCaps w:val="false"/>
          <w:sz w:val="20"/>
          <w:u w:val="single"/>
        </w:rPr>
        <w:t>Section 5.01</w:t>
      </w:r>
      <w:r>
        <w:rPr>
          <w:caps w:val="false"/>
          <w:smallCaps w:val="false"/>
        </w:rPr>
        <w:t xml:space="preserve"> </w:t>
      </w:r>
      <w:r>
        <w:rPr>
          <w:rFonts w:ascii="Times New Roman PS Std;serif" w:hAnsi="Times New Roman PS Std;serif"/>
          <w:b w:val="false"/>
          <w:i w:val="false"/>
          <w:caps w:val="false"/>
          <w:smallCaps w:val="false"/>
          <w:sz w:val="20"/>
        </w:rPr>
        <w:t xml:space="preserve">(Organization and Qualification; Subsidiaries), </w:t>
      </w:r>
      <w:r>
        <w:rPr>
          <w:rFonts w:ascii="Times New Roman PS Std;serif" w:hAnsi="Times New Roman PS Std;serif"/>
          <w:b w:val="false"/>
          <w:i w:val="false"/>
          <w:caps w:val="false"/>
          <w:smallCaps w:val="false"/>
          <w:sz w:val="20"/>
          <w:u w:val="single"/>
        </w:rPr>
        <w:t>Section 5.03</w:t>
      </w:r>
      <w:r>
        <w:rPr>
          <w:caps w:val="false"/>
          <w:smallCaps w:val="false"/>
        </w:rPr>
        <w:t xml:space="preserve"> </w:t>
      </w:r>
      <w:r>
        <w:rPr>
          <w:rFonts w:ascii="Times New Roman PS Std;serif" w:hAnsi="Times New Roman PS Std;serif"/>
          <w:b w:val="false"/>
          <w:i w:val="false"/>
          <w:caps w:val="false"/>
          <w:smallCaps w:val="false"/>
          <w:sz w:val="20"/>
        </w:rPr>
        <w:t xml:space="preserve">(Authority Relative to This Agreement), </w:t>
      </w:r>
      <w:r>
        <w:rPr>
          <w:rFonts w:ascii="Times New Roman PS Std;serif" w:hAnsi="Times New Roman PS Std;serif"/>
          <w:b w:val="false"/>
          <w:i w:val="false"/>
          <w:caps w:val="false"/>
          <w:smallCaps w:val="false"/>
          <w:sz w:val="20"/>
          <w:u w:val="single"/>
        </w:rPr>
        <w:t>Section 5.04(a)</w:t>
      </w:r>
      <w:r>
        <w:rPr>
          <w:caps w:val="false"/>
          <w:smallCaps w:val="false"/>
        </w:rPr>
        <w:t xml:space="preserve"> </w:t>
      </w:r>
      <w:r>
        <w:rPr>
          <w:rFonts w:ascii="Times New Roman PS Std;serif" w:hAnsi="Times New Roman PS Std;serif"/>
          <w:b w:val="false"/>
          <w:i w:val="false"/>
          <w:caps w:val="false"/>
          <w:smallCaps w:val="false"/>
          <w:sz w:val="20"/>
        </w:rPr>
        <w:t xml:space="preserve">(No Conflict) and </w:t>
      </w:r>
      <w:r>
        <w:rPr>
          <w:rFonts w:ascii="Times New Roman PS Std;serif" w:hAnsi="Times New Roman PS Std;serif"/>
          <w:b w:val="false"/>
          <w:i w:val="false"/>
          <w:caps w:val="false"/>
          <w:smallCaps w:val="false"/>
          <w:sz w:val="20"/>
          <w:u w:val="single"/>
        </w:rPr>
        <w:t>Section 5.19</w:t>
      </w:r>
      <w:r>
        <w:rPr>
          <w:caps w:val="false"/>
          <w:smallCaps w:val="false"/>
        </w:rPr>
        <w:t xml:space="preserve"> </w:t>
      </w:r>
      <w:r>
        <w:rPr>
          <w:rFonts w:ascii="Times New Roman PS Std;serif" w:hAnsi="Times New Roman PS Std;serif"/>
          <w:b w:val="false"/>
          <w:i w:val="false"/>
          <w:caps w:val="false"/>
          <w:smallCaps w:val="false"/>
          <w:sz w:val="20"/>
        </w:rPr>
        <w:t xml:space="preserve">(Brokers) shall be true, correct and complete in all material respects and (iv) the other representations and warranties of Tenax set forth in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shall be true, correct and complete (without giving effect to any “material”, “materiality” or “Tenax Material Adverse Effect” qualification contained therein), except where the failure of any such representations and warranties to be so true, correct and complete has not had, and would not reasonably be expected to have, individually or in the aggregate,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Agreements and Covenants</w:t>
      </w:r>
      <w:r>
        <w:rPr>
          <w:rFonts w:ascii="Times New Roman PS Std;serif" w:hAnsi="Times New Roman PS Std;serif"/>
          <w:b w:val="false"/>
          <w:i w:val="false"/>
          <w:caps w:val="false"/>
          <w:smallCaps w:val="false"/>
          <w:sz w:val="20"/>
        </w:rPr>
        <w:t>. Tenax shall have performed or complied in all material respects with the agreements and covenants required by this Agreement to be performed or complied with by it at or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Tenax Material Adverse Effect</w:t>
      </w:r>
      <w:r>
        <w:rPr>
          <w:rFonts w:ascii="Times New Roman PS Std;serif" w:hAnsi="Times New Roman PS Std;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Tenax shall have delivered to AIR a certificate, dated the Closing Date, signed by the President or Chief Financial Officer of Tenax, certifying as to the satisfaction of the conditions specified in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8.03(b)</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IX</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TERMINATION, AMENDMENT AND WAIVER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may be terminated and the transactions contemplated by this Agreement may be abandoned at any time prior to the Effective Time, as follows: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mutual written consent of Tenax and AIR, duly authorized by the Tenax Board and the AIR Board, respectively;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either Tenax or AIR if:</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AIR Stockholder Approvals shall not have been obtained at the AIR Stockholders Meeting or any adjournment or postponement thereof at which the vote was taken;</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any Restraint having the effect set forth in </w:t>
      </w:r>
      <w:r>
        <w:rPr>
          <w:rFonts w:ascii="Times New Roman PS Std;serif" w:hAnsi="Times New Roman PS Std;serif"/>
          <w:b w:val="false"/>
          <w:i w:val="false"/>
          <w:caps w:val="false"/>
          <w:smallCaps w:val="false"/>
          <w:sz w:val="20"/>
          <w:u w:val="single"/>
        </w:rPr>
        <w:t>Section 8.01(c)</w:t>
      </w:r>
      <w:r>
        <w:rPr>
          <w:caps w:val="false"/>
          <w:smallCaps w:val="false"/>
        </w:rPr>
        <w:t xml:space="preserve"> </w:t>
      </w:r>
      <w:r>
        <w:rPr>
          <w:rFonts w:ascii="Times New Roman PS Std;serif" w:hAnsi="Times New Roman PS Std;serif"/>
          <w:b w:val="false"/>
          <w:i w:val="false"/>
          <w:caps w:val="false"/>
          <w:smallCaps w:val="false"/>
          <w:sz w:val="20"/>
        </w:rPr>
        <w:t xml:space="preserve">hereof shall have become final and nonappealable;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party seeking to terminate this Agreement shall have complied in all material respects with its obligations under </w:t>
      </w:r>
      <w:r>
        <w:rPr>
          <w:rFonts w:ascii="Times New Roman PS Std;serif" w:hAnsi="Times New Roman PS Std;serif"/>
          <w:b w:val="false"/>
          <w:i w:val="false"/>
          <w:caps w:val="false"/>
          <w:smallCaps w:val="false"/>
          <w:sz w:val="20"/>
          <w:u w:val="single"/>
        </w:rPr>
        <w:t>Section 7.07</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the Effective Time shall not have occurred on or before 11:59 p.m., Eastern time, on the Outside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under this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shall not be available to (A) any party whose failure to fulfill any obligation under this Agreement or other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and (C) Tenax if any Tenax Member’s material breach of its obligations under the relevant Tenax Member Support Agreement has been a material cause of, or resulted in, the failure of the Effective Time to occur on or before such time;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Tenax:</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upon a breach by either of AIR or Merger Sub of, or failure by either of AIR or Merger Sub to perform, any representation, warranty, covenant or agreement set forth in this Agreement such that the conditions set forth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8.02(b)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such breach or failure is incapable of being cured by the Outside Date or, if curable by the Outside Date, is not cured by AIR or Merger Sub, as applicable, within thirty (30) days of receipt by AIR or Merger Sub, as applicable, of written notice of such breach or failure;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Tenax shall not have the right to terminate this Agreement pursuant to this </w:t>
      </w:r>
      <w:r>
        <w:rPr>
          <w:rFonts w:ascii="Times New Roman PS Std;serif" w:hAnsi="Times New Roman PS Std;serif"/>
          <w:b w:val="false"/>
          <w:i w:val="false"/>
          <w:caps w:val="false"/>
          <w:smallCaps w:val="false"/>
          <w:sz w:val="20"/>
          <w:u w:val="single"/>
        </w:rPr>
        <w:t>Section 9.01(c)(i)</w:t>
      </w:r>
      <w:r>
        <w:rPr>
          <w:caps w:val="false"/>
          <w:smallCaps w:val="false"/>
        </w:rPr>
        <w:t xml:space="preserve"> </w:t>
      </w:r>
      <w:r>
        <w:rPr>
          <w:rFonts w:ascii="Times New Roman PS Std;serif" w:hAnsi="Times New Roman PS Std;serif"/>
          <w:b w:val="false"/>
          <w:i w:val="false"/>
          <w:caps w:val="false"/>
          <w:smallCaps w:val="false"/>
          <w:sz w:val="20"/>
        </w:rPr>
        <w:t>if Tenax is in material breach of its representations, warranties or covenants as of the time of such purported termination;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a Change in the AIR Recommendation shall have occurred;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if the Key AIR Stockholders fail to duly execute and deliver, or cause to be delivered, to Tenax the AIR Stockholder Support Agreement within 72 hours following the execution and delivery of this Agreement;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AIR: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upon a breach by Tenax of, or a failure by Tenax to perform, any representation, warranty, covenant or agreement set forth in this Agreement such that the conditions set forth in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such breach or failure is incapable of being cured by the Outside Date or, if curable by the Outside Date, is not cured by Tenax within 30 days of receipt by Tenax of written notice of such breach or failure;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AIR shall not have the right to terminate this Agreement pursuant to this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if AIR is in material breach of its representations, warranties or covenants as of the time of such purported termination;</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if (A) the conditions set forth in </w:t>
      </w:r>
      <w:r>
        <w:rPr>
          <w:rFonts w:ascii="Times New Roman PS Std;serif" w:hAnsi="Times New Roman PS Std;serif"/>
          <w:b w:val="false"/>
          <w:i w:val="false"/>
          <w:caps w:val="false"/>
          <w:smallCaps w:val="false"/>
          <w:sz w:val="20"/>
          <w:u w:val="single"/>
        </w:rPr>
        <w:t>Section 8.01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8.02</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or waived (other than those conditions that by their nature are to be satisfied by actions taken at the Closing), (B) AIR has confirmed by notice to Tenax that all conditions set forth in </w:t>
      </w:r>
      <w:r>
        <w:rPr>
          <w:rFonts w:ascii="Times New Roman PS Std;serif" w:hAnsi="Times New Roman PS Std;serif"/>
          <w:b w:val="false"/>
          <w:i w:val="false"/>
          <w:caps w:val="false"/>
          <w:smallCaps w:val="false"/>
          <w:sz w:val="20"/>
          <w:u w:val="single"/>
        </w:rPr>
        <w:t>Section 8.03</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(other than those conditions that by their nature are to be satisfied by actions taken at the Closing) or that it is willing to waive any unsatisfied conditions in </w:t>
      </w:r>
      <w:r>
        <w:rPr>
          <w:rFonts w:ascii="Times New Roman PS Std;serif" w:hAnsi="Times New Roman PS Std;serif"/>
          <w:b w:val="false"/>
          <w:i w:val="false"/>
          <w:caps w:val="false"/>
          <w:smallCaps w:val="false"/>
          <w:sz w:val="20"/>
          <w:u w:val="single"/>
        </w:rPr>
        <w:t>Section 8.03</w:t>
      </w:r>
      <w:r>
        <w:rPr>
          <w:caps w:val="false"/>
          <w:smallCaps w:val="false"/>
        </w:rPr>
        <w:t xml:space="preserve"> </w:t>
      </w:r>
      <w:r>
        <w:rPr>
          <w:rFonts w:ascii="Times New Roman PS Std;serif" w:hAnsi="Times New Roman PS Std;serif"/>
          <w:b w:val="false"/>
          <w:i w:val="false"/>
          <w:caps w:val="false"/>
          <w:smallCaps w:val="false"/>
          <w:sz w:val="20"/>
        </w:rPr>
        <w:t xml:space="preserve">and (C) the Merger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not have been consummated within three Business Days after the delivery of such notice;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notwithstanding anything in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no party shall be permitted to terminate this Agreement pursuant to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during such three-Business-Day period following delivery of the notice referred to in clause (B) above.</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to accept a Superior Proposal, subject to the provisions of </w:t>
      </w:r>
      <w:r>
        <w:rPr>
          <w:rFonts w:ascii="Times New Roman PS Std;serif" w:hAnsi="Times New Roman PS Std;serif"/>
          <w:b w:val="false"/>
          <w:i w:val="false"/>
          <w:caps w:val="false"/>
          <w:smallCaps w:val="false"/>
          <w:sz w:val="20"/>
          <w:u w:val="single"/>
        </w:rPr>
        <w:t>Section 7.02</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if the Consenting Tenax Members fail to duly execute and deliver, or cause to be delivered, to AIR the Tenax Member Support Agreements within 72 hours following the execution and delivery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termination of this Agreement pursuant to </w:t>
      </w:r>
      <w:r>
        <w:rPr>
          <w:rFonts w:ascii="Times New Roman PS Std;serif" w:hAnsi="Times New Roman PS Std;serif"/>
          <w:b w:val="false"/>
          <w:i w:val="false"/>
          <w:caps w:val="false"/>
          <w:smallCaps w:val="false"/>
          <w:sz w:val="20"/>
          <w:u w:val="single"/>
        </w:rPr>
        <w:t>Section 9.01</w:t>
      </w:r>
      <w:r>
        <w:rPr>
          <w:rFonts w:ascii="Times New Roman PS Std;serif" w:hAnsi="Times New Roman PS Std;serif"/>
          <w:b w:val="false"/>
          <w:i w:val="false"/>
          <w:caps w:val="false"/>
          <w:smallCaps w:val="false"/>
          <w:sz w:val="20"/>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 PS Std;serif" w:hAnsi="Times New Roman PS Std;serif"/>
          <w:b w:val="false"/>
          <w:i w:val="false"/>
          <w:caps w:val="false"/>
          <w:smallCaps w:val="false"/>
          <w:sz w:val="20"/>
          <w:u w:val="single"/>
        </w:rPr>
        <w:t>Section 9.02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7.03(c)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9.03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xml:space="preserve">, each of which shall survive any termination of this Agreement and remain in full force and effect and (b) nothing in this </w:t>
      </w:r>
      <w:r>
        <w:rPr>
          <w:rFonts w:ascii="Times New Roman PS Std;serif" w:hAnsi="Times New Roman PS Std;serif"/>
          <w:b w:val="false"/>
          <w:i w:val="false"/>
          <w:caps w:val="false"/>
          <w:smallCaps w:val="false"/>
          <w:sz w:val="20"/>
          <w:u w:val="single"/>
        </w:rPr>
        <w:t>Section 9.02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9.03</w:t>
      </w:r>
      <w:r>
        <w:rPr>
          <w:caps w:val="false"/>
          <w:smallCaps w:val="false"/>
        </w:rPr>
        <w:t xml:space="preserve"> </w:t>
      </w:r>
      <w:r>
        <w:rPr>
          <w:rFonts w:ascii="Times New Roman PS Std;serif" w:hAnsi="Times New Roman PS Std;serif"/>
          <w:b w:val="false"/>
          <w:i w:val="false"/>
          <w:caps w:val="false"/>
          <w:smallCaps w:val="false"/>
          <w:sz w:val="20"/>
        </w:rPr>
        <w:t xml:space="preserve">shall relieve any party from liability for fraud committed prior to such termination or for any willful material breach prior to such termination of any of its representations, warranties, covenants or agreements set forth in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Confidentiality Agreement shall survive any termination of this Agreement.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9.03        </w:t>
      </w:r>
      <w:r>
        <w:rPr>
          <w:rFonts w:ascii="Times New Roman PS Std;serif" w:hAnsi="Times New Roman PS Std;serif"/>
          <w:b w:val="false"/>
          <w:i w:val="false"/>
          <w:caps w:val="false"/>
          <w:smallCaps w:val="false"/>
          <w:sz w:val="20"/>
          <w:u w:val="single"/>
        </w:rPr>
        <w:t>Fees and Expenses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event that: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AIR terminates this Agreement pursuant to </w:t>
      </w:r>
      <w:r>
        <w:rPr>
          <w:rFonts w:ascii="Times New Roman PS Std;serif" w:hAnsi="Times New Roman PS Std;serif"/>
          <w:b w:val="false"/>
          <w:i w:val="false"/>
          <w:caps w:val="false"/>
          <w:smallCaps w:val="false"/>
          <w:sz w:val="20"/>
          <w:u w:val="single"/>
        </w:rPr>
        <w:t>Section 9.01(d)(iii)</w:t>
      </w:r>
      <w:r>
        <w:rPr>
          <w:caps w:val="false"/>
          <w:smallCaps w:val="false"/>
        </w:rPr>
        <w:t xml:space="preserve"> </w:t>
      </w:r>
      <w:r>
        <w:rPr>
          <w:rFonts w:ascii="Times New Roman PS Std;serif" w:hAnsi="Times New Roman PS Std;serif"/>
          <w:b w:val="false"/>
          <w:i w:val="false"/>
          <w:caps w:val="false"/>
          <w:smallCaps w:val="false"/>
          <w:sz w:val="20"/>
        </w:rPr>
        <w:t>to accept a Superior Proposal;</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Tenax terminates this Agreement pursuant to </w:t>
      </w:r>
      <w:r>
        <w:rPr>
          <w:rFonts w:ascii="Times New Roman PS Std;serif" w:hAnsi="Times New Roman PS Std;serif"/>
          <w:b w:val="false"/>
          <w:i w:val="false"/>
          <w:caps w:val="false"/>
          <w:smallCaps w:val="false"/>
          <w:sz w:val="20"/>
          <w:u w:val="single"/>
        </w:rPr>
        <w:t>Section 9.01(c)(ii)</w:t>
      </w:r>
      <w:r>
        <w:rPr>
          <w:caps w:val="false"/>
          <w:smallCaps w:val="false"/>
        </w:rPr>
        <w:t xml:space="preserve"> </w:t>
      </w:r>
      <w:r>
        <w:rPr>
          <w:rFonts w:ascii="Times New Roman PS Std;serif" w:hAnsi="Times New Roman PS Std;serif"/>
          <w:b w:val="false"/>
          <w:i w:val="false"/>
          <w:caps w:val="false"/>
          <w:smallCaps w:val="false"/>
          <w:sz w:val="20"/>
        </w:rPr>
        <w:t>following a Change in the AIR Recommendation; or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(A) (I) either AIR or Tenax terminates this Agreement pursuant to </w:t>
      </w:r>
      <w:r>
        <w:rPr>
          <w:rFonts w:ascii="Times New Roman PS Std;serif" w:hAnsi="Times New Roman PS Std;serif"/>
          <w:b w:val="false"/>
          <w:i w:val="false"/>
          <w:caps w:val="false"/>
          <w:smallCaps w:val="false"/>
          <w:sz w:val="20"/>
          <w:u w:val="single"/>
        </w:rPr>
        <w:t>Section 9.01(b)(i)</w:t>
      </w:r>
      <w:r>
        <w:rPr>
          <w:caps w:val="false"/>
          <w:smallCaps w:val="false"/>
        </w:rPr>
        <w:t xml:space="preserve"> </w:t>
      </w:r>
      <w:r>
        <w:rPr>
          <w:rFonts w:ascii="Times New Roman PS Std;serif" w:hAnsi="Times New Roman PS Std;serif"/>
          <w:b w:val="false"/>
          <w:i w:val="false"/>
          <w:caps w:val="false"/>
          <w:smallCaps w:val="false"/>
          <w:sz w:val="20"/>
        </w:rPr>
        <w:t xml:space="preserve">(but only if the AIR Stockholders Meeting has been held prior to such termination) or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or (II) Tenax terminates this Agreement pursuant to </w:t>
      </w:r>
      <w:r>
        <w:rPr>
          <w:rFonts w:ascii="Times New Roman PS Std;serif" w:hAnsi="Times New Roman PS Std;serif"/>
          <w:b w:val="false"/>
          <w:i w:val="false"/>
          <w:caps w:val="false"/>
          <w:smallCaps w:val="false"/>
          <w:sz w:val="20"/>
          <w:u w:val="single"/>
        </w:rPr>
        <w:t>Section 9.01(c)(i)</w:t>
      </w:r>
      <w:r>
        <w:rPr>
          <w:rFonts w:ascii="Times New Roman PS Std;serif" w:hAnsi="Times New Roman PS Std;serif"/>
          <w:b w:val="false"/>
          <w:i w:val="false"/>
          <w:caps w:val="false"/>
          <w:smallCaps w:val="false"/>
          <w:sz w:val="20"/>
        </w:rPr>
        <w:t>, (B) prior to the termination of this Agreement, a Competing AIR Proposal shall have been publicly announced or shall have become publicly known and (C) on or prior to the date that is 12 months after the date of such termination, AIR enters into a Competing AIR Transaction Agreement in respect of such Competing AIR Proposal and the transaction contemplated thereby is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then AIR shall pay to Tenax a fee equal to $1,250,000 (the “</w:t>
      </w:r>
      <w:r>
        <w:rPr>
          <w:rFonts w:ascii="Times New Roman PS Std;serif" w:hAnsi="Times New Roman PS Std;serif"/>
          <w:b w:val="false"/>
          <w:i w:val="false"/>
          <w:caps w:val="false"/>
          <w:smallCaps w:val="false"/>
          <w:sz w:val="20"/>
          <w:u w:val="single"/>
        </w:rPr>
        <w:t>AIR Termination Fee</w:t>
      </w:r>
      <w:r>
        <w:rPr>
          <w:caps w:val="false"/>
          <w:smallCaps w:val="false"/>
        </w:rPr>
        <w:t>”</w:t>
      </w:r>
      <w:r>
        <w:rPr>
          <w:rFonts w:ascii="Times New Roman PS Std;serif" w:hAnsi="Times New Roman PS Std;serif"/>
          <w:b w:val="false"/>
          <w:i w:val="false"/>
          <w:caps w:val="false"/>
          <w:smallCaps w:val="false"/>
          <w:sz w:val="20"/>
        </w:rPr>
        <w:t xml:space="preserve">) by wire transfer of immediately available funds to an account designated by Tenax (x) in the event of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upon such termination; (y) in the event of </w:t>
      </w:r>
      <w:r>
        <w:rPr>
          <w:rFonts w:ascii="Times New Roman PS Std;serif" w:hAnsi="Times New Roman PS Std;serif"/>
          <w:b w:val="false"/>
          <w:i w:val="false"/>
          <w:caps w:val="false"/>
          <w:smallCaps w:val="false"/>
          <w:sz w:val="20"/>
          <w:u w:val="single"/>
        </w:rPr>
        <w:t>clause (ii)</w:t>
      </w:r>
      <w:r>
        <w:rPr>
          <w:rFonts w:ascii="Times New Roman PS Std;serif" w:hAnsi="Times New Roman PS Std;serif"/>
          <w:b w:val="false"/>
          <w:i w:val="false"/>
          <w:caps w:val="false"/>
          <w:smallCaps w:val="false"/>
          <w:sz w:val="20"/>
        </w:rPr>
        <w:t xml:space="preserve">, within five Business Days of such termination; and (z) in the event of </w:t>
      </w:r>
      <w:r>
        <w:rPr>
          <w:rFonts w:ascii="Times New Roman PS Std;serif" w:hAnsi="Times New Roman PS Std;serif"/>
          <w:b w:val="false"/>
          <w:i w:val="false"/>
          <w:caps w:val="false"/>
          <w:smallCaps w:val="false"/>
          <w:sz w:val="20"/>
          <w:u w:val="single"/>
        </w:rPr>
        <w:t>clause (iii)</w:t>
      </w:r>
      <w:r>
        <w:rPr>
          <w:rFonts w:ascii="Times New Roman PS Std;serif" w:hAnsi="Times New Roman PS Std;serif"/>
          <w:b w:val="false"/>
          <w:i w:val="false"/>
          <w:caps w:val="false"/>
          <w:smallCaps w:val="false"/>
          <w:sz w:val="20"/>
        </w:rPr>
        <w:t>, within five Business Days of the closing of the Competing AIR Proposal transaction. In no event shall AIR be required to pay the AIR Termination Fee on more than one occasion.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the event that AIR shall terminate this Agreement pursuant to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9.01(d)(ii)</w:t>
      </w:r>
      <w:r>
        <w:rPr>
          <w:rFonts w:ascii="Times New Roman PS Std;serif" w:hAnsi="Times New Roman PS Std;serif"/>
          <w:b w:val="false"/>
          <w:i w:val="false"/>
          <w:caps w:val="false"/>
          <w:smallCaps w:val="false"/>
          <w:sz w:val="20"/>
        </w:rPr>
        <w:t xml:space="preserve">, or Tenax shall terminate this Agreement pursuant to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and at such time AIR could have terminated this Agreement pursuant to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9.01(d)(ii)</w:t>
      </w:r>
      <w:r>
        <w:rPr>
          <w:rFonts w:ascii="Times New Roman PS Std;serif" w:hAnsi="Times New Roman PS Std;serif"/>
          <w:b w:val="false"/>
          <w:i w:val="false"/>
          <w:caps w:val="false"/>
          <w:smallCaps w:val="false"/>
          <w:sz w:val="20"/>
        </w:rPr>
        <w:t>, then Tenax shall pay to AIR a fee equal to $1,250,000 (the “</w:t>
      </w:r>
      <w:r>
        <w:rPr>
          <w:rFonts w:ascii="Times New Roman PS Std;serif" w:hAnsi="Times New Roman PS Std;serif"/>
          <w:b w:val="false"/>
          <w:i w:val="false"/>
          <w:caps w:val="false"/>
          <w:smallCaps w:val="false"/>
          <w:sz w:val="20"/>
          <w:u w:val="single"/>
        </w:rPr>
        <w:t>Tenax Termination Fee</w:t>
      </w:r>
      <w:r>
        <w:rPr>
          <w:caps w:val="false"/>
          <w:smallCaps w:val="false"/>
        </w:rPr>
        <w:t>”</w:t>
      </w:r>
      <w:r>
        <w:rPr>
          <w:rFonts w:ascii="Times New Roman PS Std;serif" w:hAnsi="Times New Roman PS Std;serif"/>
          <w:b w:val="false"/>
          <w:i w:val="false"/>
          <w:caps w:val="false"/>
          <w:smallCaps w:val="false"/>
          <w:sz w:val="20"/>
        </w:rPr>
        <w:t>) by wire transfer of immediately available funds to an account designated by AIR within five Business Days following such termination. In no event shall Tenax be required to pay the Tenax Termination Fee on more than one occasion.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the event that either AIR or Tenax terminates this Agreement pursuant to </w:t>
      </w:r>
      <w:r>
        <w:rPr>
          <w:rFonts w:ascii="Times New Roman PS Std;serif" w:hAnsi="Times New Roman PS Std;serif"/>
          <w:b w:val="false"/>
          <w:i w:val="false"/>
          <w:caps w:val="false"/>
          <w:smallCaps w:val="false"/>
          <w:sz w:val="20"/>
          <w:u w:val="single"/>
        </w:rPr>
        <w:t>Section 9.01(b)(i)</w:t>
      </w:r>
      <w:r>
        <w:rPr>
          <w:caps w:val="false"/>
          <w:smallCaps w:val="false"/>
        </w:rPr>
        <w:t xml:space="preserve"> </w:t>
      </w:r>
      <w:r>
        <w:rPr>
          <w:rFonts w:ascii="Times New Roman PS Std;serif" w:hAnsi="Times New Roman PS Std;serif"/>
          <w:b w:val="false"/>
          <w:i w:val="false"/>
          <w:caps w:val="false"/>
          <w:smallCaps w:val="false"/>
          <w:sz w:val="20"/>
        </w:rPr>
        <w:t xml:space="preserve">(but only if the AIR Stockholders Meeting has been held prior to such termination), then, in addition to any other payments that may be required to be made pursuant to this </w:t>
      </w:r>
      <w:r>
        <w:rPr>
          <w:rFonts w:ascii="Times New Roman PS Std;serif" w:hAnsi="Times New Roman PS Std;serif"/>
          <w:b w:val="false"/>
          <w:i w:val="false"/>
          <w:caps w:val="false"/>
          <w:smallCaps w:val="false"/>
          <w:sz w:val="20"/>
          <w:u w:val="single"/>
        </w:rPr>
        <w:t>Section 9.03</w:t>
      </w:r>
      <w:r>
        <w:rPr>
          <w:rFonts w:ascii="Times New Roman PS Std;serif" w:hAnsi="Times New Roman PS Std;serif"/>
          <w:b w:val="false"/>
          <w:i w:val="false"/>
          <w:caps w:val="false"/>
          <w:smallCaps w:val="false"/>
          <w:sz w:val="20"/>
        </w:rPr>
        <w:t>, AIR shall reimburse Tenax for Tenax’s reasonable and documented out-of-pocket costs and expenses incurred in connection with the execution of this Agreement and the consummation of the Transactions, up to $500,000, by wire transfer of immediately available funds to an account designated by Tenax or by transfer of AIR Common Stock of equal value within five Business Days following such termination.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In the event that AIR shall terminate this Agreement pursuant to </w:t>
      </w:r>
      <w:r>
        <w:rPr>
          <w:rFonts w:ascii="Times New Roman PS Std;serif" w:hAnsi="Times New Roman PS Std;serif"/>
          <w:b w:val="false"/>
          <w:i w:val="false"/>
          <w:caps w:val="false"/>
          <w:smallCaps w:val="false"/>
          <w:sz w:val="20"/>
          <w:u w:val="single"/>
        </w:rPr>
        <w:t>Section 9.01(d)(iv)</w:t>
      </w:r>
      <w:r>
        <w:rPr>
          <w:rFonts w:ascii="Times New Roman PS Std;serif" w:hAnsi="Times New Roman PS Std;serif"/>
          <w:b w:val="false"/>
          <w:i w:val="false"/>
          <w:caps w:val="false"/>
          <w:smallCaps w:val="false"/>
          <w:sz w:val="20"/>
        </w:rPr>
        <w:t xml:space="preserve">, then, in addition to any other payments that may be required to be made pursuant to this </w:t>
      </w:r>
      <w:r>
        <w:rPr>
          <w:rFonts w:ascii="Times New Roman PS Std;serif" w:hAnsi="Times New Roman PS Std;serif"/>
          <w:b w:val="false"/>
          <w:i w:val="false"/>
          <w:caps w:val="false"/>
          <w:smallCaps w:val="false"/>
          <w:sz w:val="20"/>
          <w:u w:val="single"/>
        </w:rPr>
        <w:t>Section 9.03</w:t>
      </w:r>
      <w:r>
        <w:rPr>
          <w:rFonts w:ascii="Times New Roman PS Std;serif" w:hAnsi="Times New Roman PS Std;serif"/>
          <w:b w:val="false"/>
          <w:i w:val="false"/>
          <w:caps w:val="false"/>
          <w:smallCaps w:val="false"/>
          <w:sz w:val="20"/>
        </w:rPr>
        <w:t>, Tenax shall reimburse AIR for AIR’s reasonable and documented out-of-pocket costs and expenses incurred in connection with the execution of this Agreement and the consummation of the Transactions, up to $500,000, by wire transfer of immediately available funds to an account designated by AIR within five Business Days following such termination.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All Expenses incurred in connection with this Agreement and the Transactions shall be paid by the party incurring such Expenses, whether or not the Merger or any other Transaction is consummated, except Expenses constituting the out-of-pocket cost of (i) filing fees, printing and mailing of the Registration Statement and the Proxy Statement/Prospectus (excluding, for the avoidance of doubt, the fees and expenses of AIR’s legal counsel) and (ii) the filing fees for the premerger notification and report forms under the HSR Act (excluding, for the avoidance of doubt, the fees and expenses of AIR’s legal counsel), which, in each case, shall be paid by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The parties hereto acknowledge and agree that the agreements contained in </w:t>
      </w:r>
      <w:r>
        <w:rPr>
          <w:rFonts w:ascii="Times New Roman PS Std;serif" w:hAnsi="Times New Roman PS Std;serif"/>
          <w:b w:val="false"/>
          <w:i w:val="false"/>
          <w:caps w:val="false"/>
          <w:smallCaps w:val="false"/>
          <w:sz w:val="20"/>
          <w:u w:val="single"/>
        </w:rPr>
        <w:t>Section 9.03(a)</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the parties hereto would not enter into this Agreement; accordingly, if AIR fails promptly to pay the AIR Termination Fee, and, in order to obtain such payment, Tenax commences a suit that results in a judgment against AIR for the AIR Termination Fee, AIR shall pay to Tenax its costs and expenses (including attorneys’ fees and expenses) in connection with such suit, up to $500,000, together with interest on the amount of the AIR Termination Fee from the date such payment was required to be made until the date of payment at the prime rate set forth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 Each party further acknowledges that the AIR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The parties hereto acknowledge and agree that the agreements contained in </w:t>
      </w:r>
      <w:r>
        <w:rPr>
          <w:rFonts w:ascii="Times New Roman PS Std;serif" w:hAnsi="Times New Roman PS Std;serif"/>
          <w:b w:val="false"/>
          <w:i w:val="false"/>
          <w:caps w:val="false"/>
          <w:smallCaps w:val="false"/>
          <w:sz w:val="20"/>
          <w:u w:val="single"/>
        </w:rPr>
        <w:t>Section 9.03(b)</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the parties hereto would not enter into this Agreement; accordingly, if Tenax fails promptly to pay the Tenax Termination Fee, and, in order to obtain such payment, AIR commences a suit that results in a judgment against Tenax for the Tenax Termination Fee, Tenax shall pay to AIR its costs and expenses (including attorneys’ fees and expenses) in connection with such suit, up to $500,000, together with interest on the amount of the Tenax Termination Fee from the date such payment was required to be made until the date of payment at the prime rate set forth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 Each party further acknowledges that the Tenax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In the event the AIR Termination Fee is required to be paid and is paid to Tenax pursuant to </w:t>
      </w:r>
      <w:r>
        <w:rPr>
          <w:rFonts w:ascii="Times New Roman PS Std;serif" w:hAnsi="Times New Roman PS Std;serif"/>
          <w:b w:val="false"/>
          <w:i w:val="false"/>
          <w:caps w:val="false"/>
          <w:smallCaps w:val="false"/>
          <w:sz w:val="20"/>
          <w:u w:val="single"/>
        </w:rPr>
        <w:t>Section 9.03(a)</w:t>
      </w:r>
      <w:r>
        <w:rPr>
          <w:rFonts w:ascii="Times New Roman PS Std;serif" w:hAnsi="Times New Roman PS Std;serif"/>
          <w:b w:val="false"/>
          <w:i w:val="false"/>
          <w:caps w:val="false"/>
          <w:smallCaps w:val="false"/>
          <w:sz w:val="20"/>
        </w:rPr>
        <w:t>, such payment of the AIR Termination Fee shall constitute liquidated damages and be the sole and exclusive monetary remedy of Tenax and its Subsidiaries and Tenax’s and its Subsidiaries’ respective current, former or future equityholders, employees, directors, officers, Affiliates or Representatives (collectively, the “</w:t>
      </w:r>
      <w:r>
        <w:rPr>
          <w:rFonts w:ascii="Times New Roman PS Std;serif" w:hAnsi="Times New Roman PS Std;serif"/>
          <w:b w:val="false"/>
          <w:i w:val="false"/>
          <w:caps w:val="false"/>
          <w:smallCaps w:val="false"/>
          <w:sz w:val="20"/>
          <w:u w:val="single"/>
        </w:rPr>
        <w:t>Tenax Related Parties</w:t>
      </w:r>
      <w:r>
        <w:rPr>
          <w:caps w:val="false"/>
          <w:smallCaps w:val="false"/>
        </w:rPr>
        <w:t>”</w:t>
      </w:r>
      <w:r>
        <w:rPr>
          <w:rFonts w:ascii="Times New Roman PS Std;serif" w:hAnsi="Times New Roman PS Std;serif"/>
          <w:b w:val="false"/>
          <w:i w:val="false"/>
          <w:caps w:val="false"/>
          <w:smallCaps w:val="false"/>
          <w:sz w:val="20"/>
        </w:rPr>
        <w:t>) against AIR and Merger Sub and their respective current, former or future equityholders, employees, directors, officers, Affiliates or Representatives (collectively, the “</w:t>
      </w:r>
      <w:r>
        <w:rPr>
          <w:rFonts w:ascii="Times New Roman PS Std;serif" w:hAnsi="Times New Roman PS Std;serif"/>
          <w:b w:val="false"/>
          <w:i w:val="false"/>
          <w:caps w:val="false"/>
          <w:smallCaps w:val="false"/>
          <w:sz w:val="20"/>
          <w:u w:val="single"/>
        </w:rPr>
        <w:t>AIR Related Parties</w:t>
      </w:r>
      <w:r>
        <w:rPr>
          <w:caps w:val="false"/>
          <w:smallCaps w:val="false"/>
        </w:rPr>
        <w:t>”</w:t>
      </w:r>
      <w:r>
        <w:rPr>
          <w:rFonts w:ascii="Times New Roman PS Std;serif" w:hAnsi="Times New Roman PS Std;serif"/>
          <w:b w:val="false"/>
          <w:i w:val="false"/>
          <w:caps w:val="false"/>
          <w:smallCaps w:val="false"/>
          <w:sz w:val="20"/>
        </w:rPr>
        <w:t>)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AIR Termination Fee, none of the AIR Related Parties shall have any further monetary liability or obligation relating to or arising out of this Agreement or the Transactions, and none of Tenax, its Subsidiaries or any other Tenax Related Party shall seek to recover any other monetary damages.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In the event the Tenax Termination Fee is required to be paid and is paid to AIR pursuant to </w:t>
      </w:r>
      <w:r>
        <w:rPr>
          <w:rFonts w:ascii="Times New Roman PS Std;serif" w:hAnsi="Times New Roman PS Std;serif"/>
          <w:b w:val="false"/>
          <w:i w:val="false"/>
          <w:caps w:val="false"/>
          <w:smallCaps w:val="false"/>
          <w:sz w:val="20"/>
          <w:u w:val="single"/>
        </w:rPr>
        <w:t>Section 9.03(b)</w:t>
      </w:r>
      <w:r>
        <w:rPr>
          <w:rFonts w:ascii="Times New Roman PS Std;serif" w:hAnsi="Times New Roman PS Std;serif"/>
          <w:b w:val="false"/>
          <w:i w:val="false"/>
          <w:caps w:val="false"/>
          <w:smallCaps w:val="false"/>
          <w:sz w:val="20"/>
        </w:rPr>
        <w:t xml:space="preserve">, such payment of the Tenax Termination Fee shall constitute liquidated damages and be the sole and exclusive monetary remedy of the AIR Related Parties against the Tenax Related Parties for all losses, damages, costs or expenses in respect of this Agreement (or the termination thereof) or the Transactions (or the failure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Tenax Termination Fee, none of the Tenax Related Parties shall have any further monetary liability or obligation relating to or arising out of this Agreement or the Transactions, and none of AIR, its Subsidiaries or any other AIR Related Party shall seek to recover any other monetary damages.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9.04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xml:space="preserve">. This Agreement may be amended by the parties hereto by action taken by or on behalf of the Tenax Board, the AIR Board and the Board of Directors of Merger Sub at any time prior to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after the AIR Stockholder Approvals have been obtained, no amendment may be made that under applicable Law or in accordance with the rules of any relevant stock exchange requires further approval by the stockholders of AIR without such approval having been obtained. This Agreement may not be amended except by an instrument in writing signed by each of the parties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9.05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AIR shall require the approval of the stockholders of AIR, unless required by applicable Law. Notwithstanding the foregoing, no failure or delay by Tenax or AIR or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9.06        </w:t>
      </w:r>
      <w:r>
        <w:rPr>
          <w:rFonts w:ascii="Times New Roman PS Std;serif" w:hAnsi="Times New Roman PS Std;serif"/>
          <w:b w:val="false"/>
          <w:i w:val="false"/>
          <w:caps w:val="false"/>
          <w:smallCaps w:val="false"/>
          <w:sz w:val="20"/>
          <w:u w:val="single"/>
        </w:rPr>
        <w:t>Procedure for Termination or Amendment</w:t>
      </w:r>
      <w:r>
        <w:rPr>
          <w:rFonts w:ascii="Times New Roman PS Std;serif" w:hAnsi="Times New Roman PS Std;serif"/>
          <w:b w:val="false"/>
          <w:i w:val="false"/>
          <w:caps w:val="false"/>
          <w:smallCaps w:val="false"/>
          <w:sz w:val="20"/>
        </w:rPr>
        <w:t xml:space="preserve">. A termination of this Agreement pursuant to </w:t>
      </w:r>
      <w:r>
        <w:rPr>
          <w:rFonts w:ascii="Times New Roman PS Std;serif" w:hAnsi="Times New Roman PS Std;serif"/>
          <w:b w:val="false"/>
          <w:i w:val="false"/>
          <w:caps w:val="false"/>
          <w:smallCaps w:val="false"/>
          <w:sz w:val="20"/>
          <w:u w:val="single"/>
        </w:rPr>
        <w:t>Section 9.01</w:t>
      </w:r>
      <w:r>
        <w:rPr>
          <w:caps w:val="false"/>
          <w:smallCaps w:val="false"/>
        </w:rPr>
        <w:t xml:space="preserve"> </w:t>
      </w:r>
      <w:r>
        <w:rPr>
          <w:rFonts w:ascii="Times New Roman PS Std;serif" w:hAnsi="Times New Roman PS Std;serif"/>
          <w:b w:val="false"/>
          <w:i w:val="false"/>
          <w:caps w:val="false"/>
          <w:smallCaps w:val="false"/>
          <w:sz w:val="20"/>
        </w:rPr>
        <w:t xml:space="preserve">or an amendment of this Agreement pursuant to </w:t>
      </w:r>
      <w:r>
        <w:rPr>
          <w:rFonts w:ascii="Times New Roman PS Std;serif" w:hAnsi="Times New Roman PS Std;serif"/>
          <w:b w:val="false"/>
          <w:i w:val="false"/>
          <w:caps w:val="false"/>
          <w:smallCaps w:val="false"/>
          <w:sz w:val="20"/>
          <w:u w:val="single"/>
        </w:rPr>
        <w:t>Section 9.04</w:t>
      </w:r>
      <w:r>
        <w:rPr>
          <w:caps w:val="false"/>
          <w:smallCaps w:val="false"/>
        </w:rPr>
        <w:t xml:space="preserve"> </w:t>
      </w:r>
      <w:r>
        <w:rPr>
          <w:rFonts w:ascii="Times New Roman PS Std;serif" w:hAnsi="Times New Roman PS Std;serif"/>
          <w:b w:val="false"/>
          <w:i w:val="false"/>
          <w:caps w:val="false"/>
          <w:smallCaps w:val="false"/>
          <w:sz w:val="20"/>
        </w:rPr>
        <w:t xml:space="preserve">shall, in order to be effective, require, in the case of Tenax or AIR, action by the Tenax Board or the AIR Board or, with respect to any amendment of this Agreement pursuant to </w:t>
      </w:r>
      <w:r>
        <w:rPr>
          <w:rFonts w:ascii="Times New Roman PS Std;serif" w:hAnsi="Times New Roman PS Std;serif"/>
          <w:b w:val="false"/>
          <w:i w:val="false"/>
          <w:caps w:val="false"/>
          <w:smallCaps w:val="false"/>
          <w:sz w:val="20"/>
          <w:u w:val="single"/>
        </w:rPr>
        <w:t>Section 9.04</w:t>
      </w:r>
      <w:r>
        <w:rPr>
          <w:rFonts w:ascii="Times New Roman PS Std;serif" w:hAnsi="Times New Roman PS Std;serif"/>
          <w:b w:val="false"/>
          <w:i w:val="false"/>
          <w:caps w:val="false"/>
          <w:smallCaps w:val="false"/>
          <w:sz w:val="20"/>
        </w:rPr>
        <w:t>, the duly authorized committee of the Tenax Board or the AIR Board to the extent permitted by applicable Law.</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X</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GENERAL PROVISIONS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10.01      </w:t>
      </w:r>
      <w:r>
        <w:rPr>
          <w:rFonts w:ascii="Times New Roman PS Std;serif" w:hAnsi="Times New Roman PS Std;serif"/>
          <w:b w:val="false"/>
          <w:i w:val="false"/>
          <w:caps w:val="false"/>
          <w:smallCaps w:val="false"/>
          <w:sz w:val="20"/>
          <w:u w:val="single"/>
        </w:rPr>
        <w:t>Non-Survival of Representations, Warranties, Covenants and Agreements</w:t>
      </w:r>
      <w:r>
        <w:rPr>
          <w:rFonts w:ascii="Times New Roman PS Std;serif" w:hAnsi="Times New Roman PS Std;serif"/>
          <w:b w:val="false"/>
          <w:i w:val="false"/>
          <w:caps w:val="false"/>
          <w:smallCaps w:val="false"/>
          <w:sz w:val="20"/>
        </w:rPr>
        <w:t xml:space="preserve">. The representations, warranties, covenants and agreements in this Agreement and in any certificate delivered pursuant hereto shall terminate at the Effective Time, except for those covenants and agreements contained in this Agreement (including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 xml:space="preserve">and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that by their terms are to be performed in whole or in part after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10.02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requests, claims, demands and other communications under this Agreement shall be in writing and shall be deemed to have been duly given (a) when delivered in person, (b) upon confirmation of receipt (or without notice of non-delivery during normal business hours),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 PS Std;serif" w:hAnsi="Times New Roman PS Std;serif"/>
          <w:b w:val="false"/>
          <w:i w:val="false"/>
          <w:caps w:val="false"/>
          <w:smallCaps w:val="false"/>
          <w:sz w:val="20"/>
          <w:u w:val="single"/>
        </w:rPr>
        <w:t>Section 10.02</w:t>
      </w:r>
      <w:r>
        <w:rPr>
          <w:rFonts w:ascii="Times New Roman PS Std;serif" w:hAnsi="Times New Roman PS Std;serif"/>
          <w:b w:val="false"/>
          <w:i w:val="false"/>
          <w:caps w:val="false"/>
          <w:smallCaps w:val="false"/>
          <w:sz w:val="20"/>
        </w:rPr>
        <w:t>):</w:t>
      </w:r>
    </w:p>
    <w:p>
      <w:pPr>
        <w:pStyle w:val="TextBody"/>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 West Parkway Place, Suite 201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Ridgeland, Mississippi 39157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5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 Field Point Road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5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 06830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keepNext w:val="false"/>
        <w:pageBreakBefore w:val="false"/>
        <w:widowControl/>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Manhattan West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 Ninth Avenue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AIR or Merger Sub:</w:t>
      </w:r>
    </w:p>
    <w:tbl>
      <w:tblPr>
        <w:tblW w:w="5765" w:type="dxa"/>
        <w:jc w:val="left"/>
        <w:tblInd w:w="0" w:type="dxa"/>
        <w:tblLayout w:type="fixed"/>
        <w:tblCellMar>
          <w:top w:w="0" w:type="dxa"/>
          <w:left w:w="0" w:type="dxa"/>
          <w:bottom w:w="0" w:type="dxa"/>
          <w:right w:w="0" w:type="dxa"/>
        </w:tblCellMar>
      </w:tblPr>
      <w:tblGrid>
        <w:gridCol w:w="161"/>
        <w:gridCol w:w="146"/>
        <w:gridCol w:w="1186"/>
        <w:gridCol w:w="146"/>
        <w:gridCol w:w="41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58"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58" w:type="dxa"/>
            <w:gridSpan w:val="3"/>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58" w:type="dxa"/>
            <w:gridSpan w:val="3"/>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631-968-5000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w:t>
      </w:r>
    </w:p>
    <w:tbl>
      <w:tblPr>
        <w:tblW w:w="4040" w:type="dxa"/>
        <w:jc w:val="left"/>
        <w:tblInd w:w="0" w:type="dxa"/>
        <w:tblLayout w:type="fixed"/>
        <w:tblCellMar>
          <w:top w:w="0" w:type="dxa"/>
          <w:left w:w="0" w:type="dxa"/>
          <w:bottom w:w="0" w:type="dxa"/>
          <w:right w:w="0" w:type="dxa"/>
        </w:tblCellMar>
      </w:tblPr>
      <w:tblGrid>
        <w:gridCol w:w="161"/>
        <w:gridCol w:w="146"/>
        <w:gridCol w:w="1186"/>
        <w:gridCol w:w="146"/>
        <w:gridCol w:w="24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 Avenue of the Americas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3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10105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Goodwin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212-370-1300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CGoodwin@egsllp.com</w:t>
            </w:r>
          </w:p>
        </w:tc>
      </w:tr>
    </w:tbl>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10.03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10.04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(including the exhibits and schedules hereto,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10.05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10.06      </w:t>
      </w:r>
      <w:r>
        <w:rPr>
          <w:rFonts w:ascii="Times New Roman PS Std;serif" w:hAnsi="Times New Roman PS Std;serif"/>
          <w:b w:val="false"/>
          <w:i w:val="false"/>
          <w:caps w:val="false"/>
          <w:smallCaps w:val="false"/>
          <w:sz w:val="20"/>
          <w:u w:val="single"/>
        </w:rPr>
        <w:t>Parties in Interest</w:t>
      </w:r>
      <w:r>
        <w:rPr>
          <w:rFonts w:ascii="Times New Roman PS Std;serif" w:hAnsi="Times New Roman PS Std;serif"/>
          <w:b w:val="false"/>
          <w:i w:val="false"/>
          <w:caps w:val="false"/>
          <w:smallCaps w:val="false"/>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other than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(which is intended to be for the benefit of the Persons expressly covered thereby and may be enforced by such Persons).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10.07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10.08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xml:space="preserve">.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(c) agree that such party will not bring any Action arising out of or relating to this Agreement or the Transactions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w:t>
      </w:r>
      <w:r>
        <w:rPr>
          <w:rFonts w:ascii="Times New Roman PS Std;serif" w:hAnsi="Times New Roman PS Std;serif"/>
          <w:b w:val="false"/>
          <w:i w:val="false"/>
          <w:caps w:val="false"/>
          <w:smallCaps w:val="false"/>
          <w:sz w:val="20"/>
          <w:u w:val="single"/>
        </w:rPr>
        <w:t>Section 10.02</w:t>
      </w:r>
      <w:r>
        <w:rPr>
          <w:caps w:val="false"/>
          <w:smallCaps w:val="false"/>
        </w:rPr>
        <w:t xml:space="preserve"> </w:t>
      </w:r>
      <w:r>
        <w:rPr>
          <w:rFonts w:ascii="Times New Roman PS Std;serif" w:hAnsi="Times New Roman PS Std;serif"/>
          <w:b w:val="false"/>
          <w:i w:val="false"/>
          <w:caps w:val="false"/>
          <w:smallCaps w:val="false"/>
          <w:sz w:val="20"/>
        </w:rPr>
        <w:t>shall be effective service of process for any such action.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10.09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10.10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xml:space="preserve">.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Times New Roman PS Std;serif" w:hAnsi="Times New Roman PS Std;serif"/>
          <w:b w:val="false"/>
          <w:i w:val="false"/>
          <w:caps w:val="false"/>
          <w:smallCaps w:val="false"/>
          <w:sz w:val="20"/>
          <w:u w:val="single"/>
        </w:rPr>
        <w:t>SECTION 10.10</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Tenax, AIR and Merger Sub have caused this Agreement to be executed as of the date first written above by their respective officers thereunto duly authorized.</w:t>
      </w:r>
    </w:p>
    <w:tbl>
      <w:tblPr>
        <w:tblW w:w="4161" w:type="dxa"/>
        <w:jc w:val="left"/>
        <w:tblInd w:w="0" w:type="dxa"/>
        <w:tblLayout w:type="fixed"/>
        <w:tblCellMar>
          <w:top w:w="0" w:type="dxa"/>
          <w:left w:w="0" w:type="dxa"/>
          <w:bottom w:w="0" w:type="dxa"/>
          <w:right w:w="0" w:type="dxa"/>
        </w:tblCellMar>
      </w:tblPr>
      <w:tblGrid>
        <w:gridCol w:w="161"/>
        <w:gridCol w:w="146"/>
        <w:gridCol w:w="501"/>
        <w:gridCol w:w="174"/>
        <w:gridCol w:w="895"/>
        <w:gridCol w:w="174"/>
        <w:gridCol w:w="211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54"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74" w:type="dxa"/>
            <w:tcBorders/>
          </w:tcPr>
          <w:p>
            <w:pPr>
              <w:pStyle w:val="TableContents"/>
              <w:bidi w:val="0"/>
              <w:spacing w:before="0" w:after="283"/>
              <w:jc w:val="left"/>
              <w:rPr/>
            </w:pPr>
            <w:r>
              <w:rPr/>
              <w:t> </w:t>
            </w:r>
          </w:p>
        </w:tc>
        <w:tc>
          <w:tcPr>
            <w:tcW w:w="3179"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Thomas C. Foley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1" w:type="dxa"/>
            <w:tcBorders/>
          </w:tcPr>
          <w:p>
            <w:pPr>
              <w:pStyle w:val="TableContents"/>
              <w:bidi w:val="0"/>
              <w:spacing w:before="0" w:after="283"/>
              <w:jc w:val="left"/>
              <w:rPr/>
            </w:pPr>
            <w:r>
              <w:rPr/>
              <w:t> </w:t>
            </w:r>
          </w:p>
        </w:tc>
        <w:tc>
          <w:tcPr>
            <w:tcW w:w="174" w:type="dxa"/>
            <w:tcBorders/>
          </w:tcPr>
          <w:p>
            <w:pPr>
              <w:pStyle w:val="TableContents"/>
              <w:bidi w:val="0"/>
              <w:spacing w:before="0" w:after="283"/>
              <w:jc w:val="left"/>
              <w:rPr/>
            </w:pPr>
            <w:r>
              <w:rPr/>
              <w:t> </w:t>
            </w:r>
          </w:p>
        </w:tc>
        <w:tc>
          <w:tcPr>
            <w:tcW w:w="89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74" w:type="dxa"/>
            <w:tcBorders/>
          </w:tcPr>
          <w:p>
            <w:pPr>
              <w:pStyle w:val="TableContents"/>
              <w:bidi w:val="0"/>
              <w:spacing w:before="0" w:after="283"/>
              <w:jc w:val="left"/>
              <w:rPr/>
            </w:pPr>
            <w:r>
              <w:rPr/>
              <w:t> </w:t>
            </w:r>
          </w:p>
        </w:tc>
        <w:tc>
          <w:tcPr>
            <w:tcW w:w="211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 Foley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1" w:type="dxa"/>
            <w:tcBorders/>
          </w:tcPr>
          <w:p>
            <w:pPr>
              <w:pStyle w:val="TableContents"/>
              <w:bidi w:val="0"/>
              <w:spacing w:before="0" w:after="283"/>
              <w:jc w:val="left"/>
              <w:rPr/>
            </w:pPr>
            <w:r>
              <w:rPr/>
              <w:t> </w:t>
            </w:r>
          </w:p>
        </w:tc>
        <w:tc>
          <w:tcPr>
            <w:tcW w:w="174" w:type="dxa"/>
            <w:tcBorders/>
          </w:tcPr>
          <w:p>
            <w:pPr>
              <w:pStyle w:val="TableContents"/>
              <w:bidi w:val="0"/>
              <w:spacing w:before="0" w:after="283"/>
              <w:jc w:val="left"/>
              <w:rPr/>
            </w:pPr>
            <w:r>
              <w:rPr/>
              <w:t> </w:t>
            </w:r>
          </w:p>
        </w:tc>
        <w:tc>
          <w:tcPr>
            <w:tcW w:w="89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74" w:type="dxa"/>
            <w:tcBorders/>
          </w:tcPr>
          <w:p>
            <w:pPr>
              <w:pStyle w:val="TableContents"/>
              <w:bidi w:val="0"/>
              <w:spacing w:before="0" w:after="283"/>
              <w:jc w:val="left"/>
              <w:rPr/>
            </w:pPr>
            <w:r>
              <w:rPr/>
              <w:t> </w:t>
            </w:r>
          </w:p>
        </w:tc>
        <w:tc>
          <w:tcPr>
            <w:tcW w:w="211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r>
    </w:tbl>
    <w:tbl>
      <w:tblPr>
        <w:tblW w:w="439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6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090"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23"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6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Acting CEO and President</w:t>
            </w:r>
          </w:p>
        </w:tc>
      </w:tr>
    </w:tbl>
    <w:tbl>
      <w:tblPr>
        <w:tblW w:w="34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16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145"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TRANSITORY AIR SUB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578"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6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6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A</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Key AIR Stockholders</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Peter D. Rettaliata</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Michael N. Taglich</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Robert F. Taglich</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David Buonanno</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Michael Brand</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Michael Porcelain</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Luciano Melluzzo</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Scott Glassman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bookmarkStart w:id="115" w:name="T5200"/>
      <w:bookmarkEnd w:id="115"/>
      <w:r>
        <w:rPr>
          <w:rFonts w:ascii="Times New Roman PS Std;serif" w:hAnsi="Times New Roman PS Std;serif"/>
          <w:b/>
          <w:i w:val="false"/>
          <w:caps w:val="false"/>
          <w:smallCaps w:val="false"/>
          <w:sz w:val="20"/>
        </w:rPr>
        <w:t xml:space="preserve">EXHIBIT A </w:t>
      </w:r>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AIR Stockholder Support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AIR STOCKHOLDER SUPPORT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AIR STOCKHOLDER SUPPORT AGREEMENT (hereinafter referred to as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February 16, 2026,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and each of the undersigned stockholders (the “</w:t>
      </w:r>
      <w:r>
        <w:rPr>
          <w:rFonts w:ascii="Times New Roman PS Std;serif" w:hAnsi="Times New Roman PS Std;serif"/>
          <w:b w:val="false"/>
          <w:i w:val="false"/>
          <w:caps w:val="false"/>
          <w:smallCaps w:val="false"/>
          <w:sz w:val="20"/>
          <w:u w:val="single"/>
        </w:rPr>
        <w:t>Supporting Stockholders</w:t>
      </w:r>
      <w:r>
        <w:rPr>
          <w:caps w:val="false"/>
          <w:smallCaps w:val="false"/>
        </w:rPr>
        <w:t>”</w:t>
      </w:r>
      <w:r>
        <w:rPr>
          <w:rFonts w:ascii="Times New Roman PS Std;serif" w:hAnsi="Times New Roman PS Std;serif"/>
          <w:b w:val="false"/>
          <w:i w:val="false"/>
          <w:caps w:val="false"/>
          <w:smallCaps w:val="false"/>
          <w:sz w:val="20"/>
        </w:rPr>
        <w:t>) of Air Industries Group, a Nevada corporation (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set forth on Schedule 1(b)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Tenax, AIR and Transitory Air Sub LLC, a Delaware limited liability company and wholly owned subsidiary of AIR, have entered into an Agreement and Plan of Merger dated as of February 16, 2026 (as it may be amended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Supporting Stockholder Beneficially Owns (as defined below) and is entitled to vote (or direct the voting of) the number of shares of AIR Stock set forth opposite such Supporting Stockholder’s name on Schedule 1(b) attached hereto;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Tenax desires that the Supporting Stockholders agree, and the Supporting Stockholders are willing to agree, on the terms and subject to the conditions set forth herein, (a) to not Transfer (as defined below) the Covered Shares (as defined below) and (b) to vote or consent with respect to all of the Covered Shares in a manner so as to facilitate the consummation of the Merger and the other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Covered Shares</w:t>
      </w:r>
      <w:r>
        <w:rPr>
          <w:caps w:val="false"/>
          <w:smallCaps w:val="false"/>
        </w:rPr>
        <w:t xml:space="preserve">” </w:t>
      </w:r>
      <w:r>
        <w:rPr>
          <w:rFonts w:ascii="Times New Roman PS Std;serif" w:hAnsi="Times New Roman PS Std;serif"/>
          <w:b w:val="false"/>
          <w:i w:val="false"/>
          <w:caps w:val="false"/>
          <w:smallCaps w:val="false"/>
          <w:sz w:val="20"/>
        </w:rPr>
        <w:t>means, with respect to any Supporting Stockholder, (i) all shares of AIR Stock set forth opposite such Supporting Stockholder’s name on Schedule 1(b) attached hereto and (ii) all shares of AIR Stock that such Supporting Stockholder comes to Beneficially Own during the period from the date of this Agreement through the Expiration Date, together with any voting securities or instruments of AIR, or other securities or interests exercisable for or convertible into shares of AIR Stock or voting securities or instruments of AIR, that such Supporting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AIR).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Expiration Date</w:t>
      </w:r>
      <w:r>
        <w:rPr>
          <w:caps w:val="false"/>
          <w:smallCaps w:val="false"/>
        </w:rPr>
        <w:t xml:space="preserve">” </w:t>
      </w:r>
      <w:r>
        <w:rPr>
          <w:rFonts w:ascii="Times New Roman PS Std;serif" w:hAnsi="Times New Roman PS Std;serif"/>
          <w:b w:val="false"/>
          <w:i w:val="false"/>
          <w:caps w:val="false"/>
          <w:smallCaps w:val="false"/>
          <w:sz w:val="20"/>
        </w:rPr>
        <w:t>means the earlier to occur of (i) the Effective Time and (ii) the termination of the Merger Agreement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with respect to any Supporting Stockholder, that such Supporting Stockholder directly or indirectly (i) sells, pledges, subjects to any Encumbrance, exchanges, assigns, grants an option with respect to, transfers, tenders or otherwise disposes of a Covered Share of such Supporting Stockholder or any direct or indirect interest in such Covered Share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Share or any direct or indirect interest therein (including the right or power to vote any Covered Share) (including by gift, merger or operation of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2. </w:t>
      </w:r>
      <w:r>
        <w:rPr>
          <w:rFonts w:ascii="Times New Roman PS Std;serif" w:hAnsi="Times New Roman PS Std;serif"/>
          <w:b w:val="false"/>
          <w:i w:val="false"/>
          <w:caps w:val="false"/>
          <w:smallCaps w:val="false"/>
          <w:sz w:val="20"/>
          <w:u w:val="single"/>
        </w:rPr>
        <w:t>Agreement Not to Transfer or Encumber</w:t>
      </w:r>
      <w:r>
        <w:rPr>
          <w:rFonts w:ascii="Times New Roman PS Std;serif" w:hAnsi="Times New Roman PS Std;serif"/>
          <w:b w:val="false"/>
          <w:i w:val="false"/>
          <w:caps w:val="false"/>
          <w:smallCaps w:val="false"/>
          <w:sz w:val="20"/>
        </w:rPr>
        <w:t>. Each Supporting Stockholder hereby agrees that, from the date hereof until the Expiration Date, it shall not Transfer any Covered Shares or Beneficial Ownership thereof, cause or permit the conversion of any Covered Shares or, directly or indirectly,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Supporting Stockholders of their obligations hereunder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3. </w:t>
      </w:r>
      <w:r>
        <w:rPr>
          <w:rFonts w:ascii="Times New Roman PS Std;serif" w:hAnsi="Times New Roman PS Std;serif"/>
          <w:b w:val="false"/>
          <w:i w:val="false"/>
          <w:caps w:val="false"/>
          <w:smallCaps w:val="false"/>
          <w:sz w:val="20"/>
          <w:u w:val="single"/>
        </w:rPr>
        <w:t>Agreement to Consent and Approve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Supporting Stockholder hereby irrevocably and unconditionally agrees that, from the date hereof until the Expiration Date, it shall vote or cause to be voted (including by written consent) all of such Supporting Stockholder’s Covered Shares in favor of the approval of the AIR Charter Amendment and the AIR Stock Issuance and against (i) any Competing AIR Proposal; (ii) any amendment of the organizational documents of AIR, which amendment would in any manner impede, interfere with, delay, postpone, adversely affect or prevent the consummation of the Transactions, including the Merger, or change in any manner the voting rights of AIR Stock; or (iii) any other action, agreement or transaction involving AIR that is intended, or would reasonably be expected, to impede, interfere with, delay, postpone, adversely affect or prevent the consummation of the Transactions, including the Merger.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Supporting Stockholder agrees that, from the date hereof until the Expiration Date, in the event that a meeting of the stockholders of AIR is held regarding the Merger Agreement, the Transactions, the AIR Charter Amendment, the AIR Stock Issuance or any of the matters referred to in Section 3(a), it shall, or shall cause the holder of record of any of the Covered Shares of such Supporting Stockholder on any applicable record date to, be present in person or represented by proxy at such meeting or otherwise cause all Covered Shares of such Supporting Stockholder to be counted as present thereat for purposes of establishing a quorum, and shall vote all of such Supporting Stockholder’s Covered Shares at such meeting in accordance with Section 3(a).</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Prior to the Expiration Date, no Supporting Stockholder shall call, seek to call or request the call of any meeting of the stockholders of AIR with respect to any matter relating to the Merger or any other Transaction, or take any action by written consent other than as expressly contemplated by Section 3(a), whether pursuant to the NRS, the organizational documents of AIR or otherwise.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4. </w:t>
      </w:r>
      <w:r>
        <w:rPr>
          <w:rFonts w:ascii="Times New Roman PS Std;serif" w:hAnsi="Times New Roman PS Std;serif"/>
          <w:b w:val="false"/>
          <w:i w:val="false"/>
          <w:caps w:val="false"/>
          <w:smallCaps w:val="false"/>
          <w:sz w:val="20"/>
          <w:u w:val="single"/>
        </w:rPr>
        <w:t>Voided Acts</w:t>
      </w:r>
      <w:r>
        <w:rPr>
          <w:rFonts w:ascii="Times New Roman PS Std;serif" w:hAnsi="Times New Roman PS Std;serif"/>
          <w:b w:val="false"/>
          <w:i w:val="false"/>
          <w:caps w:val="false"/>
          <w:smallCaps w:val="false"/>
          <w:sz w:val="20"/>
        </w:rPr>
        <w:t xml:space="preserve">. Each Supporting Stockholder agrees that any (a) Transfer (or purported Transfer) in breach of this Agreement or (b) attempt by any Supporting Stockholder to vote, or express consent or dissent with respect to (or otherwise to utilize the voting power of), its Covered Shares in contravention of this Agreement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5. </w:t>
      </w:r>
      <w:r>
        <w:rPr>
          <w:rFonts w:ascii="Times New Roman PS Std;serif" w:hAnsi="Times New Roman PS Std;serif"/>
          <w:b w:val="false"/>
          <w:i w:val="false"/>
          <w:caps w:val="false"/>
          <w:smallCaps w:val="false"/>
          <w:sz w:val="20"/>
          <w:u w:val="single"/>
        </w:rPr>
        <w:t>Agreement Not to Solicit</w:t>
      </w:r>
      <w:r>
        <w:rPr>
          <w:rFonts w:ascii="Times New Roman PS Std;serif" w:hAnsi="Times New Roman PS Std;serif"/>
          <w:b w:val="false"/>
          <w:i w:val="false"/>
          <w:caps w:val="false"/>
          <w:smallCaps w:val="false"/>
          <w:sz w:val="20"/>
        </w:rPr>
        <w:t>. Each Supporting Stockholder agrees that it shall not, and shall cause each of such Supporting Stockholder’s controlled Affiliates not to, and shall instruct and use such Supporting Stockholder’s reasonable best efforts to cause such Supporting Stockholder’s and such Supporting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AIR Proposal, (b) enter into, maintain, continue or participate in any discussions or negotiations with any Person or entity in furtherance of, or furnish to any Person any information or otherwise cooperate in any way with respect to, any Competing AIR Proposal, (c) agree to, approve, endorse, recommend or consummate any Competing AIR Proposal, (d) enter into, or propose to enter into, any Competing AIR Transaction Agreement or (e) resolve, propose or agree, or authorize or permit any Representative to do any of the foregoing. Each Supporting Stockholder shall, and each Supporting Stockholder shall cause such Supporting Stockholder’s controlled Affiliates and use such Supporting Stockholder’s reasonable best efforts to cause such Supporting Stockholder’s Representatives to, immediately cease and cause to be terminated any discussions and negotiations with any Person conducted heretofore with respect to any Competing AIR Proposal or proposal that would reasonably be expected to lead to a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6. </w:t>
      </w:r>
      <w:r>
        <w:rPr>
          <w:rFonts w:ascii="Times New Roman PS Std;serif" w:hAnsi="Times New Roman PS Std;serif"/>
          <w:b w:val="false"/>
          <w:i w:val="false"/>
          <w:caps w:val="false"/>
          <w:smallCaps w:val="false"/>
          <w:sz w:val="20"/>
          <w:u w:val="single"/>
        </w:rPr>
        <w:t>Commencement or Participation in Actions</w:t>
      </w:r>
      <w:r>
        <w:rPr>
          <w:rFonts w:ascii="Times New Roman PS Std;serif" w:hAnsi="Times New Roman PS Std;serif"/>
          <w:b w:val="false"/>
          <w:i w:val="false"/>
          <w:caps w:val="false"/>
          <w:smallCaps w:val="false"/>
          <w:sz w:val="20"/>
        </w:rPr>
        <w:t>. Each Supporting Stockholder hereby agrees not to commence or join in, and to take all reasonable actions necessary to opt out of, any Action against AIR and/or its directors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AIR Board or its members or any stockholder of AIR in connection with the Merger Agreement, the Transactions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7. </w:t>
      </w:r>
      <w:r>
        <w:rPr>
          <w:rFonts w:ascii="Times New Roman PS Std;serif" w:hAnsi="Times New Roman PS Std;serif"/>
          <w:b w:val="false"/>
          <w:i w:val="false"/>
          <w:caps w:val="false"/>
          <w:smallCaps w:val="false"/>
          <w:sz w:val="20"/>
          <w:u w:val="single"/>
        </w:rPr>
        <w:t>Agreement Not to Tender</w:t>
      </w:r>
      <w:r>
        <w:rPr>
          <w:rFonts w:ascii="Times New Roman PS Std;serif" w:hAnsi="Times New Roman PS Std;serif"/>
          <w:b w:val="false"/>
          <w:i w:val="false"/>
          <w:caps w:val="false"/>
          <w:smallCaps w:val="false"/>
          <w:sz w:val="20"/>
        </w:rPr>
        <w:t>. Each Supporting Stockholder hereby agrees that it shall not, without the prior written consent of Tenax, directly or indirectly, tender any shares of AIR Stock Beneficially Owned by such Supporting Stockholder into the Tender Offer, in any manner, or enter into any agreement, arrangement or understanding that results in such shares being tendered into the Tender Offer. Any attempt to tender any such shares into the Tender Offer shall be subject to the provisions of Section 15.</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8. </w:t>
      </w:r>
      <w:r>
        <w:rPr>
          <w:rFonts w:ascii="Times New Roman PS Std;serif" w:hAnsi="Times New Roman PS Std;serif"/>
          <w:b w:val="false"/>
          <w:i w:val="false"/>
          <w:caps w:val="false"/>
          <w:smallCaps w:val="false"/>
          <w:sz w:val="20"/>
          <w:u w:val="single"/>
        </w:rPr>
        <w:t>Directors and Officers</w:t>
      </w:r>
      <w:r>
        <w:rPr>
          <w:rFonts w:ascii="Times New Roman PS Std;serif" w:hAnsi="Times New Roman PS Std;serif"/>
          <w:b w:val="false"/>
          <w:i w:val="false"/>
          <w:caps w:val="false"/>
          <w:smallCaps w:val="false"/>
          <w:sz w:val="20"/>
        </w:rPr>
        <w:t>. Each Supporting Stockholder is entering into this Agreement solely in its capacity as a Beneficial Owner of Covered Shares, and in this regard, such Supporting Stockholder shall not be deemed to make any agreement or understanding in this Agreement in such Supporting Stockholder’s capacity as a director or officer of AIR, including with respect to Section 7.02 of the Merger Agreement. The parties acknowledge and agree that nothing in this Agreement shall (a) restrict in any respect any actions taken by a Supporting Stockholder or its designee who is a director or officer of AIR solely in his or her capacity as a director or officer of AIR or (b) be construed to prohibit, limit or restrict the Supporting Stockholder or its designee from exercising its fiduciary duties as a director or officer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9. </w:t>
      </w:r>
      <w:r>
        <w:rPr>
          <w:rFonts w:ascii="Times New Roman PS Std;serif" w:hAnsi="Times New Roman PS Std;serif"/>
          <w:b w:val="false"/>
          <w:i w:val="false"/>
          <w:caps w:val="false"/>
          <w:smallCaps w:val="false"/>
          <w:sz w:val="20"/>
          <w:u w:val="single"/>
        </w:rPr>
        <w:t>Irrevocable Proxy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Each Supporting Stockholder hereby irrevocably grants to, and appoints, Tenax, and any individual designated in writing by Tenax, and each of them individually, as such Supporting Stockholder’s proxy and attorney-in-fact (with full power of substitution), for and in the name, place and stead of such Supporting Stockholder, to vote such Supporting Stockholder’s Covered Shares, or execute a written consent or grant approval in respect of such Covered Shares, in a manner consistent with this Agreement from the date hereof until the Expiration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for the avoidance of doubt, that such proxy and voting and related rights are limited to those matters set forth in clauses (a) and (b) of Section 3, and each Supporting Stockholder shall retain at all times the right to vote such Supporting Stockholder’s Covered Shares (or to direct how such Covered Shares shall be voted) in such Supporting Stockholder’s sole discretion and without any other limitation on any matters not connected with the Transactions. Each Supporting Stockholder understands and acknowledges that Tenax has entered into the Merger Agreement in reliance upon such Supporting Stockholder’s execution and delivery of this Agreement. Each Supporting Stockholder hereby affirms that the irrevocable proxy set forth in this Section 9(a) is given to secure the performance of the duties of such Supporting Stockholder under this Agreement. Each Supporting Stockholder hereby further affirms that the irrevocable proxy is coupled with an interest sufficient in law and such irrevocable proxy is executed and intended to be irrevocable in accordance with applicable Law and AIR’s bylaws until, and shall not be terminated by operation of Law or upon the occurrence of any other event other than, the termination of this Agreement pursuant to Section 16. Each Supporting Stockholder shall, upon written request by Tenax, as promptly as practicable, execute and deliver to Tenax a separate written instrument or proxy that embodies the terms of this irrevocable proxy set forth in this Section 9(a). Each Supporting Stockholder agrees not to grant any proxy that conflicts with or is inconsistent with the proxy granted to Tenax in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Supporting Stockholder hereby revokes (or agrees to cause to be revoked) any proxies that such Supporting Stockholder has heretofore granted with respect to the Covered Securities Beneficially Owned by such Supporting Stockholder.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10. </w:t>
      </w:r>
      <w:r>
        <w:rPr>
          <w:rFonts w:ascii="Times New Roman PS Std;serif" w:hAnsi="Times New Roman PS Std;serif"/>
          <w:b w:val="false"/>
          <w:i w:val="false"/>
          <w:caps w:val="false"/>
          <w:smallCaps w:val="false"/>
          <w:sz w:val="20"/>
          <w:u w:val="single"/>
        </w:rPr>
        <w:t>Additional Shares</w:t>
      </w:r>
      <w:r>
        <w:rPr>
          <w:rFonts w:ascii="Times New Roman PS Std;serif" w:hAnsi="Times New Roman PS Std;serif"/>
          <w:b w:val="false"/>
          <w:i w:val="false"/>
          <w:caps w:val="false"/>
          <w:smallCaps w:val="false"/>
          <w:sz w:val="20"/>
        </w:rPr>
        <w:t>. Each Supporting Stockholder hereby agrees that in the event such Supporting Stockholder acquires or receives, directly or indirectly, any shares of AIR Stock or other securities or interests entitled to vote or securities or interests exercisable for or convertible into shares of AIR Stock or other securities or interests entitled to vote after the execution of this Agreement, such Supporting Stockholder shall promptly deliver to Tenax a written notice in accordance with Section 19(d) indicating the number of such shares of AIR Stock, securities or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11. </w:t>
      </w:r>
      <w:r>
        <w:rPr>
          <w:rFonts w:ascii="Times New Roman PS Std;serif" w:hAnsi="Times New Roman PS Std;serif"/>
          <w:b w:val="false"/>
          <w:i w:val="false"/>
          <w:caps w:val="false"/>
          <w:smallCaps w:val="false"/>
          <w:sz w:val="20"/>
          <w:u w:val="single"/>
        </w:rPr>
        <w:t>Representations and Warranties of Tenax</w:t>
      </w:r>
      <w:r>
        <w:rPr>
          <w:rFonts w:ascii="Times New Roman PS Std;serif" w:hAnsi="Times New Roman PS Std;serif"/>
          <w:b w:val="false"/>
          <w:i w:val="false"/>
          <w:caps w:val="false"/>
          <w:smallCaps w:val="false"/>
          <w:sz w:val="20"/>
        </w:rPr>
        <w:t>. Tenax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Tenax is a legal entity duly organized, validly existing and in good standing under the Laws of the jurisdiction of its incorporation.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the Supporting Stockholders,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12. </w:t>
      </w:r>
      <w:r>
        <w:rPr>
          <w:rFonts w:ascii="Times New Roman PS Std;serif" w:hAnsi="Times New Roman PS Std;serif"/>
          <w:b w:val="false"/>
          <w:i w:val="false"/>
          <w:caps w:val="false"/>
          <w:smallCaps w:val="false"/>
          <w:sz w:val="20"/>
          <w:u w:val="single"/>
        </w:rPr>
        <w:t>Representations and Warranties of the Supporting Stockholders</w:t>
      </w:r>
      <w:r>
        <w:rPr>
          <w:rFonts w:ascii="Times New Roman PS Std;serif" w:hAnsi="Times New Roman PS Std;serif"/>
          <w:b w:val="false"/>
          <w:i w:val="false"/>
          <w:caps w:val="false"/>
          <w:smallCaps w:val="false"/>
          <w:sz w:val="20"/>
        </w:rPr>
        <w:t>. Each Supporting Stockholder (severally and not jointly)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If such Supporting Stockholder is not an individual, such Supporting Stockholder is a legal entity duly formed or organized (as applicable), validly existing and in good standing under the Laws of the jurisdiction in which it is formed or organized,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such Supporting Stockholder is an individual, he or she has full legal capacity, right and authority to execute and deliver this Agreement and to perform his or her obligations hereunder and consummate the transactions contemplated hereby. If such Supporting Stockholder is not an individual, (i) such Supporting Stockholder has all requisite power and authority to execute and deliver this Agreement, to perform such Supporting Stockholder’s obligations hereunder and to consummate the transactions contemplated hereby and (ii) the execution and delivery by such Supporting Stockholder of this Agreement and the performance of such Supporting Stockholder’s obligations and the consummation of the transactions contemplated hereby by such Supporting Stockholder have been duly authorized by all necessary action, and no other actions on the part of such Supporting Stockholder (or its governing body, board of directors, members, partners, stockholders or trustees, as applicable) are necessary to authorize or adopt this Agreement or to consummate the transactions contemplated by this Agreement. This Agreement has been duly executed and delivered by such Supporting Stockholder and, assuming this Agreement constitutes a valid and binding obligation of Tenax, constitutes a valid and binding obligation of such Supporting Stockholder, enforceable against such Supporting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None of the execution and delivery by such Supporting Stockholder of this Agreement, the performance by such Supporting Stockholder of such Supporting Stockholder’s obligations hereunder or the consummation by such Supporting Stockholder of the transactions contemplated hereby does or would reasonably be expected to conflict with or result in a violation or breach of, or default under, (i) if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Supporting Stockholder is not an individual, such Supporting Stockholder’s articles or certificate of formation, incorporation or organization, operating agreement, bylaws or comparable organizational documents, as applicable, each in its currently effective form as amended from time to time, (ii) any other contract to which such Supporting Stockholder is a party or by which such Supporting Stockholder may be bound, including any voting agreement or voting trust, except for violations, breaches or defaults that, individually or in the aggregate, would not reasonably be expected to (x) in any material respect impair or adversely affect the ability of such Supporting Stockholder to perform such Supporting Stockholder’s obligations under this Agreement on a timely basis or (y) prevent or materially delay or adversely affect the consummation of the Transactions or (iii) any Law applicable to such Supporting Stockholder. The execution, delivery and performance by such Supporting Stockholder of this Agreement, and the consummation by such Supporting Stockholder of the transactions contemplated hereby, require no consent or action by or in respect of, or filing with, any Governmental Authority.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Ownership of Shares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Such Supporting Stockholder (i) is the lawful record and Beneficial Owner of the shares of AIR Stock set forth opposite such Supporting Stockholder’s name on Schedule 1(b) attached hereto and has, and at all times prior to the Expiration Date will have, the sole power to vote (or cause to be voted) or Transfer, or demand or waive any dissenter’s or appraisal rights with respect to, such shares of AIR Stock,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Supporting Stockholder’s Covered Shares that may exist pursuant to securities Laws) and (ii) as of the date hereof, does not Beneficially Own or have the right to vote (or cause the voting of) any shares of any class of AIR Stock or other securities of AIR or any interest therein or any voting rights with respect to any securities of AIR other than the shares of AIR Stock set forth opposite such Supporting Stockholder’s name on Schedule 1(b) attached 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Related Party Agreements</w:t>
      </w:r>
      <w:r>
        <w:rPr>
          <w:rFonts w:ascii="Times New Roman PS Std;serif" w:hAnsi="Times New Roman PS Std;serif"/>
          <w:b w:val="false"/>
          <w:i w:val="false"/>
          <w:caps w:val="false"/>
          <w:smallCaps w:val="false"/>
          <w:sz w:val="20"/>
        </w:rPr>
        <w:t>. Set forth opposite such Supporting Stockholder’s name on Schedule 12(e) hereto is a list of all Contracts or arrangements between (i) AIR or any of its Subsidiaries, on the one hand, and (ii) such Supporting Stockholder or any of its Affiliates, on the other hand. Such Supporting Stockholder has no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As of the date hereof, there are no Actions pending or, to the knowledge of such Supporting Stockholder, threatened against such Supporting Stockholder, or any Order to which such Supporting Stockholder is subject, except, in each case, for those that, individually or in the aggregate, would not reasonably be expected to prevent or impair or otherwise adversely affect (i) the ability of such Supporting Stockholder to fully perform such Supporting Stockholder’s obligations under this Agreement on a timely basis or (ii) prevent or materially delay or adversely affect the consummation of the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No Finder’s Fees</w:t>
      </w:r>
      <w:r>
        <w:rPr>
          <w:rFonts w:ascii="Times New Roman PS Std;serif" w:hAnsi="Times New Roman PS Std;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Supporting Stockholder in his, her or its capacity as a stockholder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13. </w:t>
      </w:r>
      <w:r>
        <w:rPr>
          <w:rFonts w:ascii="Times New Roman PS Std;serif" w:hAnsi="Times New Roman PS Std;serif"/>
          <w:b w:val="false"/>
          <w:i w:val="false"/>
          <w:caps w:val="false"/>
          <w:smallCaps w:val="false"/>
          <w:sz w:val="20"/>
          <w:u w:val="single"/>
        </w:rPr>
        <w:t>Disclosure and Communications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Supporting Stockholder hereby consents to and authorizes the publication and disclosure of such Supporting Stockholder’s identity and ownership, this Agreement and the nature of such Supporting Stockholder’s commitments, arrangements and understandings pursuant to this Agreement and such other information pertinent to such disclosure, including the filing of this Agreement, by Tenax and AIR in the Proxy Statement or other disclosure document required by applicable Law to be filed with the SEC or other Governmental Authority in connection with this Agreement, the Merger Agreement or the Transactions, and agrees to reasonably cooperate with Tenax in connection with such filings.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Supporting Stockholders shall not issue or make any press release or public announcement related to this Agreement, the Merger Agreement or the Transactions, or any other announcement or communication to the employees, customers or suppliers of AIR or any of its Subsidiaries, in each case without the approval of Tenax, unless required by applicable Law in the reasonable opinion of counsel, in which case Tenax will have the right to review such press release, announcement or communication prior to issuance, distribution or publication.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14.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Subject to the terms and conditions of this Agreement, upon request of Tenax, each Supporting Stockholder shall execute and deliver such additional documents and take all such further action as may be reasonably necessary or appropriate to fulfill such Supporting Stockholder’s obligations under this Agreement and consummate the transactions contemplated by this Agreement and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15. </w:t>
      </w:r>
      <w:r>
        <w:rPr>
          <w:rFonts w:ascii="Times New Roman PS Std;serif" w:hAnsi="Times New Roman PS Std;serif"/>
          <w:b w:val="false"/>
          <w:i w:val="false"/>
          <w:caps w:val="false"/>
          <w:smallCaps w:val="false"/>
          <w:sz w:val="20"/>
          <w:u w:val="single"/>
        </w:rPr>
        <w:t>Stop Transfer Instructions</w:t>
      </w:r>
      <w:r>
        <w:rPr>
          <w:rFonts w:ascii="Times New Roman PS Std;serif" w:hAnsi="Times New Roman PS Std;serif"/>
          <w:b w:val="false"/>
          <w:i w:val="false"/>
          <w:caps w:val="false"/>
          <w:smallCaps w:val="false"/>
          <w:sz w:val="20"/>
        </w:rPr>
        <w:t>. Each Supporting Stockholder shall not request that AIR register the Transfer (book-entry or otherwise) of any certificated or uncertificated interest representing any of such Supporting Stockholder’s Covered Shares, unless such Transfer is made in compliance with this Agreement. Each Supporting Stockholder hereby authorizes Tenax to direct AIR to impose stop orders to prevent the Transfer of any Covered Shares on the books of AIR in violation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16.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 this Section 16 and Sections 1, 13 and 19 shall survive any termination of the Agreement and (ii) Sections 2, 3, 4, 5, 9, 10 and 15 shall terminate and shall have no further force or effect as of the Expiration Date. Notwithstanding the foregoing, nothing set forth in this Section 16 or elsewhere in this Agreement shall relieve either party hereto from liability, or otherwise limit the liability of a Supporting Stockholder, for any breach of this Agreement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17. </w:t>
      </w:r>
      <w:r>
        <w:rPr>
          <w:rFonts w:ascii="Times New Roman PS Std;serif" w:hAnsi="Times New Roman PS Std;serif"/>
          <w:b w:val="false"/>
          <w:i w:val="false"/>
          <w:caps w:val="false"/>
          <w:smallCaps w:val="false"/>
          <w:sz w:val="20"/>
          <w:u w:val="single"/>
        </w:rPr>
        <w:t>Transaction Documents</w:t>
      </w:r>
      <w:r>
        <w:rPr>
          <w:rFonts w:ascii="Times New Roman PS Std;serif" w:hAnsi="Times New Roman PS Std;serif"/>
          <w:b w:val="false"/>
          <w:i w:val="false"/>
          <w:caps w:val="false"/>
          <w:smallCaps w:val="false"/>
          <w:sz w:val="20"/>
        </w:rPr>
        <w:t>. Each Supporting Stockholder acknowledges that the Merger Agreement and the other Transaction Documents may be amended in accordance with the terms and conditions set forth in the Merger Agreement and the other Transaction Documents. Each Supporting Stockholder acknowledges, agrees and consents to all such changes to the Merger Agreement and the other Transaction Documents (and hereby irrevocably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18.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Each Supporting Stockholder, as to itself and all of such Supporting Stockholder’s Covered Shares, hereby irrevocably waives any and all notice, information and consent requirements, as well as any right of first refusal, right of first offer, right of first negotiation, right restricting share transfers, redemption right, co-sale right, registration right, preemptive right and other similar rights, and any and all dissenter’s or appraisal rights (whether under the NRS or otherwise),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Supporting Stockholder, or under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19. </w:t>
      </w:r>
      <w:r>
        <w:rPr>
          <w:rFonts w:ascii="Times New Roman PS Std;serif" w:hAnsi="Times New Roman PS Std;serif"/>
          <w:b w:val="false"/>
          <w:i w:val="false"/>
          <w:caps w:val="false"/>
          <w:smallCaps w:val="false"/>
          <w:sz w:val="20"/>
          <w:u w:val="single"/>
        </w:rPr>
        <w:t>Miscellaneous and General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Amendments; Waivers, Etc</w:t>
      </w:r>
      <w:r>
        <w:rPr>
          <w:rFonts w:ascii="Times New Roman PS Std;serif" w:hAnsi="Times New Roman PS Std;serif"/>
          <w:b w:val="false"/>
          <w:i w:val="false"/>
          <w:caps w:val="false"/>
          <w:smallCaps w:val="false"/>
          <w:sz w:val="20"/>
        </w:rPr>
        <w:t>. This Agreement may not be amended, changed, supplemented or otherwise modified with respect to any Supporting Stockholder, except upon the execution and delivery of a written agreement executed by each of Tenax and such Supporting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 xml:space="preserve">Governing Law; </w:t>
      </w:r>
      <w:r>
        <w:rPr>
          <w:rFonts w:ascii="Times New Roman PS Std;serif" w:hAnsi="Times New Roman PS Std;serif"/>
          <w:b w:val="false"/>
          <w:i w:val="false"/>
          <w:caps/>
          <w:sz w:val="20"/>
          <w:u w:val="single"/>
        </w:rPr>
        <w:t>Waiver of Jury Trial</w:t>
      </w:r>
      <w:r>
        <w:rPr>
          <w:rFonts w:ascii="Times New Roman PS Std;serif" w:hAnsi="Times New Roman PS Std;serif"/>
          <w:b w:val="false"/>
          <w:i/>
          <w:sz w:val="20"/>
        </w:rPr>
        <w:t>.</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19(d) shall be effective service of process for any such action.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19(c)(ii).</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19(d):</w:t>
      </w:r>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33" w:type="dxa"/>
            <w:gridSpan w:val="3"/>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 West Parkway Place, Suite 201</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Ridgeland, Mississippi 39157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 (which shall not constitute notice):</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104 Field Point Road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Greenwich, Connecticut 06830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Two Manhattan West</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375 Ninth Avenue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New York, New York 10001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 Supporting Stockholder, to such Supporting Stockholder at the address corresponding to such Supporting Stockholder’s name on Schedule 1(b).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may be given to such other persons or addresses as may be designated in writing by the party to receive such notice as provided above.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Parties in Interest; No Third Party Beneficiaries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sz w:val="20"/>
        </w:rPr>
        <w:t>.</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(k)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The parties hereto agree that the parties hereto would be irreparably damaged if any provision of this Agreement was not performed in accordance with its specific terms or was otherwise breached. Accordingly, Tenax shall be entitled to an injunction or injunctions to prevent breaches of this Agreement and to enforce specifically the performance of the terms of this Agreement, in addition to any other remedy at law or in equity. The parties further agree that Tenax shall not be required to obtain, furnish or post any bond or similar instrument in connection with or as a condition to obtaining any such legal or equitable relief, and each Supporting Stockholder waives any objection to the imposition of such relief or any right it might have to require the obtaining, furnishing or posting of any such bond or similar instrument.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3742" w:type="dxa"/>
        <w:jc w:val="left"/>
        <w:tblInd w:w="0" w:type="dxa"/>
        <w:tblLayout w:type="fixed"/>
        <w:tblCellMar>
          <w:top w:w="0" w:type="dxa"/>
          <w:left w:w="0" w:type="dxa"/>
          <w:bottom w:w="0" w:type="dxa"/>
          <w:right w:w="0" w:type="dxa"/>
        </w:tblCellMar>
      </w:tblPr>
      <w:tblGrid>
        <w:gridCol w:w="161"/>
        <w:gridCol w:w="146"/>
        <w:gridCol w:w="874"/>
        <w:gridCol w:w="303"/>
        <w:gridCol w:w="1559"/>
        <w:gridCol w:w="303"/>
        <w:gridCol w:w="3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435"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03" w:type="dxa"/>
            <w:tcBorders/>
          </w:tcPr>
          <w:p>
            <w:pPr>
              <w:pStyle w:val="TableContents"/>
              <w:bidi w:val="0"/>
              <w:spacing w:before="0" w:after="283"/>
              <w:jc w:val="left"/>
              <w:rPr/>
            </w:pPr>
            <w:r>
              <w:rPr/>
              <w:t> </w:t>
            </w:r>
          </w:p>
        </w:tc>
        <w:tc>
          <w:tcPr>
            <w:tcW w:w="2258"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03" w:type="dxa"/>
            <w:tcBorders/>
          </w:tcPr>
          <w:p>
            <w:pPr>
              <w:pStyle w:val="TableContents"/>
              <w:bidi w:val="0"/>
              <w:spacing w:before="0" w:after="283"/>
              <w:jc w:val="left"/>
              <w:rPr/>
            </w:pPr>
            <w:r>
              <w:rPr/>
              <w:t> </w:t>
            </w:r>
          </w:p>
        </w:tc>
        <w:tc>
          <w:tcPr>
            <w:tcW w:w="3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03" w:type="dxa"/>
            <w:tcBorders/>
          </w:tcPr>
          <w:p>
            <w:pPr>
              <w:pStyle w:val="TableContents"/>
              <w:bidi w:val="0"/>
              <w:spacing w:before="0" w:after="283"/>
              <w:jc w:val="left"/>
              <w:rPr/>
            </w:pPr>
            <w:r>
              <w:rPr/>
              <w:t> </w:t>
            </w:r>
          </w:p>
        </w:tc>
        <w:tc>
          <w:tcPr>
            <w:tcW w:w="396"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Tenax Signature Page to AIR Stockholder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871" w:type="dxa"/>
        <w:jc w:val="left"/>
        <w:tblInd w:w="0" w:type="dxa"/>
        <w:tblLayout w:type="fixed"/>
        <w:tblCellMar>
          <w:top w:w="0" w:type="dxa"/>
          <w:left w:w="0" w:type="dxa"/>
          <w:bottom w:w="0" w:type="dxa"/>
          <w:right w:w="0" w:type="dxa"/>
        </w:tblCellMar>
      </w:tblPr>
      <w:tblGrid>
        <w:gridCol w:w="161"/>
        <w:gridCol w:w="146"/>
        <w:gridCol w:w="652"/>
        <w:gridCol w:w="226"/>
        <w:gridCol w:w="1164"/>
        <w:gridCol w:w="226"/>
        <w:gridCol w:w="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64"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[Supporting Stockholder]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5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26" w:type="dxa"/>
            <w:tcBorders/>
          </w:tcPr>
          <w:p>
            <w:pPr>
              <w:pStyle w:val="TableContents"/>
              <w:bidi w:val="0"/>
              <w:spacing w:before="0" w:after="283"/>
              <w:jc w:val="left"/>
              <w:rPr/>
            </w:pPr>
            <w:r>
              <w:rPr/>
              <w:t> </w:t>
            </w:r>
          </w:p>
        </w:tc>
        <w:tc>
          <w:tcPr>
            <w:tcW w:w="1686"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226" w:type="dxa"/>
            <w:tcBorders/>
          </w:tcPr>
          <w:p>
            <w:pPr>
              <w:pStyle w:val="TableContents"/>
              <w:bidi w:val="0"/>
              <w:spacing w:before="0" w:after="283"/>
              <w:jc w:val="left"/>
              <w:rPr/>
            </w:pPr>
            <w:r>
              <w:rPr/>
              <w:t> </w:t>
            </w:r>
          </w:p>
        </w:tc>
        <w:tc>
          <w:tcPr>
            <w:tcW w:w="116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26" w:type="dxa"/>
            <w:tcBorders/>
          </w:tcPr>
          <w:p>
            <w:pPr>
              <w:pStyle w:val="TableContents"/>
              <w:bidi w:val="0"/>
              <w:spacing w:before="0" w:after="283"/>
              <w:jc w:val="left"/>
              <w:rPr/>
            </w:pPr>
            <w:r>
              <w:rPr/>
              <w:t> </w:t>
            </w:r>
          </w:p>
        </w:tc>
        <w:tc>
          <w:tcPr>
            <w:tcW w:w="2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226" w:type="dxa"/>
            <w:tcBorders/>
          </w:tcPr>
          <w:p>
            <w:pPr>
              <w:pStyle w:val="TableContents"/>
              <w:bidi w:val="0"/>
              <w:spacing w:before="0" w:after="283"/>
              <w:jc w:val="left"/>
              <w:rPr/>
            </w:pPr>
            <w:r>
              <w:rPr/>
              <w:t> </w:t>
            </w:r>
          </w:p>
        </w:tc>
        <w:tc>
          <w:tcPr>
            <w:tcW w:w="116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26" w:type="dxa"/>
            <w:tcBorders/>
          </w:tcPr>
          <w:p>
            <w:pPr>
              <w:pStyle w:val="TableContents"/>
              <w:bidi w:val="0"/>
              <w:spacing w:before="0" w:after="283"/>
              <w:jc w:val="left"/>
              <w:rPr/>
            </w:pPr>
            <w:r>
              <w:rPr/>
              <w:t> </w:t>
            </w:r>
          </w:p>
        </w:tc>
        <w:tc>
          <w:tcPr>
            <w:tcW w:w="296"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Supporting Stockholder Signature Page to AIR Stockholder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1(b)</w:t>
      </w:r>
    </w:p>
    <w:tbl>
      <w:tblPr>
        <w:tblW w:w="10205" w:type="dxa"/>
        <w:jc w:val="left"/>
        <w:tblInd w:w="0" w:type="dxa"/>
        <w:tblLayout w:type="fixed"/>
        <w:tblCellMar>
          <w:top w:w="0" w:type="dxa"/>
          <w:left w:w="0" w:type="dxa"/>
          <w:bottom w:w="0" w:type="dxa"/>
          <w:right w:w="0" w:type="dxa"/>
        </w:tblCellMar>
      </w:tblPr>
      <w:tblGrid>
        <w:gridCol w:w="2193"/>
        <w:gridCol w:w="146"/>
        <w:gridCol w:w="1104"/>
        <w:gridCol w:w="146"/>
        <w:gridCol w:w="1179"/>
        <w:gridCol w:w="146"/>
        <w:gridCol w:w="992"/>
        <w:gridCol w:w="146"/>
        <w:gridCol w:w="1104"/>
        <w:gridCol w:w="146"/>
        <w:gridCol w:w="1374"/>
        <w:gridCol w:w="146"/>
        <w:gridCol w:w="1383"/>
      </w:tblGrid>
      <w:tr>
        <w:trPr/>
        <w:tc>
          <w:tcPr>
            <w:tcW w:w="21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Supporting Stockholder</w:t>
            </w:r>
          </w:p>
        </w:tc>
        <w:tc>
          <w:tcPr>
            <w:tcW w:w="146" w:type="dxa"/>
            <w:tcBorders/>
            <w:vAlign w:val="bottom"/>
          </w:tcPr>
          <w:p>
            <w:pPr>
              <w:pStyle w:val="TableContents"/>
              <w:bidi w:val="0"/>
              <w:spacing w:before="0" w:after="283"/>
              <w:jc w:val="left"/>
              <w:rPr/>
            </w:pPr>
            <w:r>
              <w:rPr/>
              <w:t> </w:t>
            </w:r>
          </w:p>
        </w:tc>
        <w:tc>
          <w:tcPr>
            <w:tcW w:w="11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 xml:space="preserve">Common </w:t>
              <w:br/>
              <w:t>Stock</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 xml:space="preserve">Preferred </w:t>
              <w:br/>
              <w:t>Stock</w:t>
            </w:r>
          </w:p>
        </w:tc>
        <w:tc>
          <w:tcPr>
            <w:tcW w:w="146" w:type="dxa"/>
            <w:tcBorders/>
            <w:vAlign w:val="bottom"/>
          </w:tcPr>
          <w:p>
            <w:pPr>
              <w:pStyle w:val="TableContents"/>
              <w:bidi w:val="0"/>
              <w:spacing w:before="0" w:after="283"/>
              <w:jc w:val="left"/>
              <w:rPr/>
            </w:pPr>
            <w:r>
              <w:rPr/>
              <w:t> </w:t>
            </w:r>
          </w:p>
        </w:tc>
        <w:tc>
          <w:tcPr>
            <w:tcW w:w="9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RSU </w:t>
              <w:br/>
              <w:t>Awards</w:t>
            </w:r>
          </w:p>
        </w:tc>
        <w:tc>
          <w:tcPr>
            <w:tcW w:w="146" w:type="dxa"/>
            <w:tcBorders/>
            <w:vAlign w:val="bottom"/>
          </w:tcPr>
          <w:p>
            <w:pPr>
              <w:pStyle w:val="TableContents"/>
              <w:bidi w:val="0"/>
              <w:spacing w:before="0" w:after="283"/>
              <w:jc w:val="left"/>
              <w:rPr/>
            </w:pPr>
            <w:r>
              <w:rPr/>
              <w:t> </w:t>
            </w:r>
          </w:p>
        </w:tc>
        <w:tc>
          <w:tcPr>
            <w:tcW w:w="11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Stock </w:t>
              <w:br/>
              <w:t>Options</w:t>
            </w:r>
          </w:p>
        </w:tc>
        <w:tc>
          <w:tcPr>
            <w:tcW w:w="146" w:type="dxa"/>
            <w:tcBorders/>
            <w:vAlign w:val="bottom"/>
          </w:tcPr>
          <w:p>
            <w:pPr>
              <w:pStyle w:val="TableContents"/>
              <w:bidi w:val="0"/>
              <w:spacing w:before="0" w:after="283"/>
              <w:jc w:val="left"/>
              <w:rPr/>
            </w:pPr>
            <w:r>
              <w:rPr/>
              <w:t> </w:t>
            </w:r>
          </w:p>
        </w:tc>
        <w:tc>
          <w:tcPr>
            <w:tcW w:w="13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Ownership </w:t>
              <w:br/>
              <w:t xml:space="preserve">Percentage </w:t>
              <w:br/>
              <w:t xml:space="preserve">(Fully </w:t>
              <w:br/>
              <w:t>Diluted)</w:t>
            </w:r>
          </w:p>
        </w:tc>
        <w:tc>
          <w:tcPr>
            <w:tcW w:w="146" w:type="dxa"/>
            <w:tcBorders/>
            <w:vAlign w:val="bottom"/>
          </w:tcPr>
          <w:p>
            <w:pPr>
              <w:pStyle w:val="TableContents"/>
              <w:bidi w:val="0"/>
              <w:spacing w:before="0" w:after="283"/>
              <w:jc w:val="left"/>
              <w:rPr/>
            </w:pPr>
            <w:r>
              <w:rPr/>
              <w:t> </w:t>
            </w:r>
          </w:p>
        </w:tc>
        <w:tc>
          <w:tcPr>
            <w:tcW w:w="13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Voting </w:t>
              <w:br/>
              <w:t>Percentage</w:t>
            </w:r>
          </w:p>
        </w:tc>
      </w:tr>
      <w:tr>
        <w:trPr/>
        <w:tc>
          <w:tcPr>
            <w:tcW w:w="21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left"/>
              <w:rPr/>
            </w:pPr>
            <w:r>
              <w:rPr/>
              <w:t> </w:t>
            </w:r>
          </w:p>
        </w:tc>
      </w:tr>
      <w:tr>
        <w:trPr/>
        <w:tc>
          <w:tcPr>
            <w:tcW w:w="21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left"/>
              <w:rPr/>
            </w:pPr>
            <w:r>
              <w:rPr/>
              <w:t> </w:t>
            </w:r>
          </w:p>
        </w:tc>
      </w:tr>
      <w:tr>
        <w:trPr/>
        <w:tc>
          <w:tcPr>
            <w:tcW w:w="21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13(e)</w:t>
      </w:r>
    </w:p>
    <w:tbl>
      <w:tblPr>
        <w:tblW w:w="5848" w:type="dxa"/>
        <w:jc w:val="left"/>
        <w:tblInd w:w="0" w:type="dxa"/>
        <w:tblLayout w:type="fixed"/>
        <w:tblCellMar>
          <w:top w:w="0" w:type="dxa"/>
          <w:left w:w="0" w:type="dxa"/>
          <w:bottom w:w="0" w:type="dxa"/>
          <w:right w:w="0" w:type="dxa"/>
        </w:tblCellMar>
      </w:tblPr>
      <w:tblGrid>
        <w:gridCol w:w="2641"/>
        <w:gridCol w:w="146"/>
        <w:gridCol w:w="3061"/>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Supporting Stockholder</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Related Party Agreement(s)</w:t>
            </w:r>
          </w:p>
        </w:tc>
      </w:tr>
      <w:tr>
        <w:trPr/>
        <w:tc>
          <w:tcPr>
            <w:tcW w:w="2641"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3061" w:type="dxa"/>
            <w:tcBorders/>
            <w:shd w:fill="CCEEFF" w:val="clear"/>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bidi w:val="0"/>
              <w:spacing w:before="0" w:after="283"/>
              <w:jc w:val="left"/>
              <w:rPr/>
            </w:pPr>
            <w:r>
              <w:rPr/>
              <w:t> </w:t>
            </w:r>
          </w:p>
        </w:tc>
      </w:tr>
      <w:tr>
        <w:trPr/>
        <w:tc>
          <w:tcPr>
            <w:tcW w:w="26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6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16" w:name="T5201"/>
      <w:bookmarkEnd w:id="116"/>
      <w:r>
        <w:rPr>
          <w:rFonts w:ascii="Times New Roman PS Std;serif" w:hAnsi="Times New Roman PS Std;serif"/>
          <w:b/>
          <w:i w:val="false"/>
          <w:caps w:val="false"/>
          <w:smallCaps w:val="false"/>
          <w:sz w:val="20"/>
        </w:rPr>
        <w:t xml:space="preserve">EXHIBIT B </w:t>
      </w:r>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Tenax Member Support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TENAX MEMBER SUPPORT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TENAX MEMBER SUPPORT AGREEMENT (hereinafter referred to as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July 2, 2026,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Air Industries Group, a Nevada corporation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and each of the undersigned members (the “</w:t>
      </w:r>
      <w:r>
        <w:rPr>
          <w:rFonts w:ascii="Times New Roman PS Std;serif" w:hAnsi="Times New Roman PS Std;serif"/>
          <w:b w:val="false"/>
          <w:i w:val="false"/>
          <w:caps w:val="false"/>
          <w:smallCaps w:val="false"/>
          <w:sz w:val="20"/>
          <w:u w:val="single"/>
        </w:rPr>
        <w:t>Consenting Members</w:t>
      </w:r>
      <w:r>
        <w:rPr>
          <w:caps w:val="false"/>
          <w:smallCaps w:val="false"/>
        </w:rPr>
        <w:t>”</w:t>
      </w:r>
      <w:r>
        <w:rPr>
          <w:rFonts w:ascii="Times New Roman PS Std;serif" w:hAnsi="Times New Roman PS Std;serif"/>
          <w:b w:val="false"/>
          <w:i w:val="false"/>
          <w:caps w:val="false"/>
          <w:smallCaps w:val="false"/>
          <w:sz w:val="20"/>
        </w:rPr>
        <w:t>) of Tenax, set forth on Schedule 1(b)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Tenax, AIR and Transitory Air Sub LLC, a Delaware limited liability company and wholly owned subsidiary of AIR, have entered into an Amended and Restated Agreement and Plan of Merger dated as of July 2, 2026 (as it may be further amended, restated or otherwise modified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Consenting Member Beneficially Owns (as defined below) and is entitled to vote (or direct the voting of) the number of Tenax Units set forth opposite such Consenting Member’s name on Schedule 1(b) attached hereto;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AIR desires that the Consenting Members agree, and the Consenting Members are willing to agree, on the terms and subject to the conditions set forth herein, (a) to not Transfer (as defined below) the Covered Units (as defined below) and (b) to vote or consent with respect to all of the Covered Units in a manner so as to facilitate the consummation of the Merger and the other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Covered Units</w:t>
      </w:r>
      <w:r>
        <w:rPr>
          <w:caps w:val="false"/>
          <w:smallCaps w:val="false"/>
        </w:rPr>
        <w:t xml:space="preserve">” </w:t>
      </w:r>
      <w:r>
        <w:rPr>
          <w:rFonts w:ascii="Times New Roman PS Std;serif" w:hAnsi="Times New Roman PS Std;serif"/>
          <w:b w:val="false"/>
          <w:i w:val="false"/>
          <w:caps w:val="false"/>
          <w:smallCaps w:val="false"/>
          <w:sz w:val="20"/>
        </w:rPr>
        <w:t>means, with respect to any Consenting Member, (i) all Tenax Units set forth opposite such Consenting Member’s name on Schedule 1(b) attached hereto and (ii) all Tenax Units that such Consenting Member comes to Beneficially Own during the period from the date of this Agreement through the Expiration Date, together with any voting securities or instruments of Tenax, or other securities or interests exercisable for or convertible into Tenax Units or voting securities or instruments of Tenax, that such Consenting Member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Expiration Date</w:t>
      </w:r>
      <w:r>
        <w:rPr>
          <w:caps w:val="false"/>
          <w:smallCaps w:val="false"/>
        </w:rPr>
        <w:t xml:space="preserve">” </w:t>
      </w:r>
      <w:r>
        <w:rPr>
          <w:rFonts w:ascii="Times New Roman PS Std;serif" w:hAnsi="Times New Roman PS Std;serif"/>
          <w:b w:val="false"/>
          <w:i w:val="false"/>
          <w:caps w:val="false"/>
          <w:smallCaps w:val="false"/>
          <w:sz w:val="20"/>
        </w:rPr>
        <w:t>means the earlier to occur of (i) the Effective Time and (ii) the termination of the Merger Agreement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Permitted Transferee</w:t>
      </w:r>
      <w:r>
        <w:rPr>
          <w:caps w:val="false"/>
          <w:smallCaps w:val="false"/>
        </w:rPr>
        <w:t xml:space="preserve">” </w:t>
      </w:r>
      <w:r>
        <w:rPr>
          <w:rFonts w:ascii="Times New Roman PS Std;serif" w:hAnsi="Times New Roman PS Std;serif"/>
          <w:b w:val="false"/>
          <w:i w:val="false"/>
          <w:caps w:val="false"/>
          <w:smallCaps w:val="false"/>
          <w:sz w:val="20"/>
        </w:rPr>
        <w:t>means, with respect to a Consenting Member, an Affiliate of such Consenting Member or (direct or indirect) partners, limited liability company members, stockholders or other equity holders of such Consenting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with respect to any Consenting Member, that such Consenting Member directly or indirectly (i) sells, pledges, subjects to any Encumbrance, exchanges, assigns, grants an option with respect to, transfers, tenders or otherwise disposes of a Covered Unit of such Consenting Member or any direct or indirect interest in such Covered Unit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Unit or any direct or indirect interest therein (including the right or power to vote any Covered Unit) (including by gift, merger or operation of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2.  </w:t>
      </w:r>
      <w:r>
        <w:rPr>
          <w:rFonts w:ascii="Times New Roman PS Std;serif" w:hAnsi="Times New Roman PS Std;serif"/>
          <w:b w:val="false"/>
          <w:i w:val="false"/>
          <w:caps w:val="false"/>
          <w:smallCaps w:val="false"/>
          <w:sz w:val="20"/>
          <w:u w:val="single"/>
        </w:rPr>
        <w:t>Agreement Not to Transfer or Encumber</w:t>
      </w:r>
      <w:r>
        <w:rPr>
          <w:rFonts w:ascii="Times New Roman PS Std;serif" w:hAnsi="Times New Roman PS Std;serif"/>
          <w:b w:val="false"/>
          <w:i w:val="false"/>
          <w:caps w:val="false"/>
          <w:smallCaps w:val="false"/>
          <w:sz w:val="20"/>
        </w:rPr>
        <w:t>. Each Consenting Member hereby agrees that, from the date hereof until the Expiration Date, it shall not Transfer any Covered Units or Beneficial Ownership thereof other than Transfers to Permitted Transferees, cause or permit the conversion of any Covered Units or, directly or indirectly, deposit any Covered Units into a voting trust or enter into any tender, voting or other agreement or arrangement with any Person with respect to any Covered Units or grant a proxy or power of attorney with respect thereto (other than pursuant to this Agreement) or give instructions with respect to the voting of the Covered Units in any manner that is inconsistent with this Agreement or otherwise take any other action with respect to the Covered Units that would in any way restrict, limit or interfere with the performance by the Consenting Members of their obligations hereunder or the transactions contemplated hereby. No Transfer of Covered Units to a Permitted Transferee pursuant to this Section 2 shall be effective until such time as such Permitted Transferee has executed and delivered to AIR, as a condition precedent to such Transfer, a joinder to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3.  </w:t>
      </w:r>
      <w:r>
        <w:rPr>
          <w:rFonts w:ascii="Times New Roman PS Std;serif" w:hAnsi="Times New Roman PS Std;serif"/>
          <w:b w:val="false"/>
          <w:i w:val="false"/>
          <w:caps w:val="false"/>
          <w:smallCaps w:val="false"/>
          <w:sz w:val="20"/>
          <w:u w:val="single"/>
        </w:rPr>
        <w:t>Consent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Consenting Member, acting without a meeting in accordance with Section 404 of the DLLCA hereby irrevocably: (i) acknowledges receipt of, and a reasonable opportunity to review, the Merger Agreement, including the exhibits and schedules thereto; (ii) acknowledges and agrees that this Agreement and all shares of AIR Common Stock payable to the Tenax Member as Merger Consideration (including in accordance with the Tenax Closing Capitalization Schedule) and the other Transactions are subject to, and governed by, the terms and conditions of the Transaction Documents, this Agreement and the documents and instruments related thereto and hereto (including the Tenax Closing Capitalization Schedule); (iii) consents, approves, agrees to and adopts, in all respects, the Merger and the terms and provisions of the Transaction Documents, including the Merger Agreement, and the Transactions (including the distribution to the Tenax Member of the Merger Consideration in accordance with the Tenax Closing Capitalization Schedule) in accordance with the applicable provisions of the DLLCA and the limited liability company agreement of Tenax; (iv) adopts, approves, confirms and ratifies all actions of the Tenax Board, officers and other authorized Representatives of Tenax taken in connection with the negotiation, execution and performance of the Transaction Documents and the Transactions; and (v) agrees that it shall not revoke, rescind or otherwise modify its written consent under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Consenting Member agrees that (i) AIR and its Representatives, including the Transfer Agent, shall be entitled to conclusively rely on the amounts and calculations set forth in the Tenax Closing Capitalization Schedule and (ii) the payment of the applicable portion of the Merger Consideration pursuant to the Tenax Closing Capitalization Schedule delivered thereunder (including any adjustments thereto contemplated by the Merger Agreement) represents full and final payment in respect of the Tenax Units Beneficially Owned by such Consenting Member.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4.  </w:t>
      </w:r>
      <w:r>
        <w:rPr>
          <w:rFonts w:ascii="Times New Roman PS Std;serif" w:hAnsi="Times New Roman PS Std;serif"/>
          <w:b w:val="false"/>
          <w:i w:val="false"/>
          <w:caps w:val="false"/>
          <w:smallCaps w:val="false"/>
          <w:sz w:val="20"/>
          <w:u w:val="single"/>
        </w:rPr>
        <w:t>Voided Acts</w:t>
      </w:r>
      <w:r>
        <w:rPr>
          <w:rFonts w:ascii="Times New Roman PS Std;serif" w:hAnsi="Times New Roman PS Std;serif"/>
          <w:b w:val="false"/>
          <w:i w:val="false"/>
          <w:caps w:val="false"/>
          <w:smallCaps w:val="false"/>
          <w:sz w:val="20"/>
        </w:rPr>
        <w:t xml:space="preserve">. Any (a) Transfer (or purported Transfer) in breach of this Agreement or (b) attempt by any Consenting Member to vote, or express consent or dissent with respect to (or otherwise to utilize the voting power of), its Covered Units in contravention of this Agreement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5.  </w:t>
      </w:r>
      <w:r>
        <w:rPr>
          <w:rFonts w:ascii="Times New Roman PS Std;serif" w:hAnsi="Times New Roman PS Std;serif"/>
          <w:b w:val="false"/>
          <w:i w:val="false"/>
          <w:caps w:val="false"/>
          <w:smallCaps w:val="false"/>
          <w:sz w:val="20"/>
          <w:u w:val="single"/>
        </w:rPr>
        <w:t>Agreement Not to Solicit</w:t>
      </w:r>
      <w:r>
        <w:rPr>
          <w:rFonts w:ascii="Times New Roman PS Std;serif" w:hAnsi="Times New Roman PS Std;serif"/>
          <w:b w:val="false"/>
          <w:i w:val="false"/>
          <w:caps w:val="false"/>
          <w:smallCaps w:val="false"/>
          <w:sz w:val="20"/>
        </w:rPr>
        <w:t>. Each Consenting Member agrees that it shall not, and shall cause each of such Consenting Member’s controlled Affiliates not to, and shall instruct and use such Consenting Member’s reasonable best efforts to cause such Consenting Member’s and such Consenting Member’s controlled Affiliates’ Representatives not to, directly or indirectly, (a) solicit, initiate, seek or take any other action to facilitate or encourage the making, submission or announcement of any proposal that constitutes, or would be reasonably be expected to lead to, any Competing Tenax Proposal, (b) enter into, maintain, continue or participate in any discussions or negotiations with any Person or entity in furtherance of, or furnish to any Person any information or otherwise cooperate in any way with respect to, any Competing Tenax Proposal, (c) agree to, approve, endorse, recommend or consummate any Competing Tenax Proposal, (d) enter into, or propose to enter into, any Competing Tenax Transaction Agreement or (e) resolve, propose or agree, or authorize or permit any Representative to do any of the foregoing. Each Consenting Member shall, and each Consenting Member shall cause such Consenting Member’s controlled Affiliates and use such Consenting Member’s reasonable best efforts to cause such Consenting Member’s Representatives to, immediately cease and cause to be terminated any discussions and negotiations with any Person conducted heretofore with respect to any Competing Tenax Proposal or proposal that would reasonably be expected to lead to a Competing Tenax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6.  </w:t>
      </w:r>
      <w:r>
        <w:rPr>
          <w:rFonts w:ascii="Times New Roman PS Std;serif" w:hAnsi="Times New Roman PS Std;serif"/>
          <w:b w:val="false"/>
          <w:i w:val="false"/>
          <w:caps w:val="false"/>
          <w:smallCaps w:val="false"/>
          <w:sz w:val="20"/>
          <w:u w:val="single"/>
        </w:rPr>
        <w:t>Commencement or Participation in Actions</w:t>
      </w:r>
      <w:r>
        <w:rPr>
          <w:rFonts w:ascii="Times New Roman PS Std;serif" w:hAnsi="Times New Roman PS Std;serif"/>
          <w:b w:val="false"/>
          <w:i w:val="false"/>
          <w:caps w:val="false"/>
          <w:smallCaps w:val="false"/>
          <w:sz w:val="20"/>
        </w:rPr>
        <w:t>. Each Consenting Member hereby agrees not to commence or join in, and to take all reasonable actions necessary to opt out of, any Action against Tenax and/or its managers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Tenax Board or its members or any member of Tenax in connection with the Merger Agreement, the Transactions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7.  </w:t>
      </w:r>
      <w:r>
        <w:rPr>
          <w:rFonts w:ascii="Times New Roman PS Std;serif" w:hAnsi="Times New Roman PS Std;serif"/>
          <w:b w:val="false"/>
          <w:i w:val="false"/>
          <w:caps w:val="false"/>
          <w:smallCaps w:val="false"/>
          <w:sz w:val="20"/>
          <w:u w:val="single"/>
        </w:rPr>
        <w:t>Managers and Officers</w:t>
      </w:r>
      <w:r>
        <w:rPr>
          <w:rFonts w:ascii="Times New Roman PS Std;serif" w:hAnsi="Times New Roman PS Std;serif"/>
          <w:b w:val="false"/>
          <w:i w:val="false"/>
          <w:caps w:val="false"/>
          <w:smallCaps w:val="false"/>
          <w:sz w:val="20"/>
        </w:rPr>
        <w:t>. Each Consenting Member is entering into this Agreement solely in its capacity as a Beneficial Owner of Covered Units, and in this regard, such Consenting Member shall not be deemed to make any agreement or understanding in this Agreement in such Consenting Member’s capacity as a manager or officer of Tenax, including with respect to Section 7.02 of the Merger Agreement. The parties acknowledge and agree that nothing in this Agreement shall (a) restrict in any respect any actions taken by a Consenting Member or its designee who is a manager or officer of Tenax solely in his or her capacity as a manager or officer of Tenax or (b) be construed to prohibit, limit or restrict the Consenting Member or its designee from exercising its fiduciary duties as a manager or officer of Tenax.</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8.  </w:t>
      </w:r>
      <w:r>
        <w:rPr>
          <w:rFonts w:ascii="Times New Roman PS Std;serif" w:hAnsi="Times New Roman PS Std;serif"/>
          <w:b w:val="false"/>
          <w:i w:val="false"/>
          <w:caps w:val="false"/>
          <w:smallCaps w:val="false"/>
          <w:sz w:val="20"/>
          <w:u w:val="single"/>
        </w:rPr>
        <w:t>Additional Units</w:t>
      </w:r>
      <w:r>
        <w:rPr>
          <w:rFonts w:ascii="Times New Roman PS Std;serif" w:hAnsi="Times New Roman PS Std;serif"/>
          <w:b w:val="false"/>
          <w:i w:val="false"/>
          <w:caps w:val="false"/>
          <w:smallCaps w:val="false"/>
          <w:sz w:val="20"/>
        </w:rPr>
        <w:t>. Each Consenting Member hereby agrees that in the event such Consenting Member acquires or receives, directly or indirectly, any Tenax Units or other securities or interests entitled to vote or securities or interests exercisable for or convertible into Tenax Units or other securities or interests entitled to vote after the execution of this Agreement, such Consenting Member shall promptly deliver to AIR a written notice in accordance with Section 16(d) indicating the number of such Tenax Units, securities or interests.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9.  </w:t>
      </w:r>
      <w:r>
        <w:rPr>
          <w:rFonts w:ascii="Times New Roman PS Std;serif" w:hAnsi="Times New Roman PS Std;serif"/>
          <w:b w:val="false"/>
          <w:i w:val="false"/>
          <w:caps w:val="false"/>
          <w:smallCaps w:val="false"/>
          <w:sz w:val="20"/>
          <w:u w:val="single"/>
        </w:rPr>
        <w:t>Representations and Warranties of Tenax</w:t>
      </w:r>
      <w:r>
        <w:rPr>
          <w:rFonts w:ascii="Times New Roman PS Std;serif" w:hAnsi="Times New Roman PS Std;serif"/>
          <w:b w:val="false"/>
          <w:i w:val="false"/>
          <w:caps w:val="false"/>
          <w:smallCaps w:val="false"/>
          <w:sz w:val="20"/>
        </w:rPr>
        <w:t>. Tenax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Tenax is a legal entity duly organized, validly existing and in good standing under the Laws of the jurisdiction of its incorporation.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AIR and the Consenting Members,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10.  </w:t>
      </w:r>
      <w:r>
        <w:rPr>
          <w:rFonts w:ascii="Times New Roman PS Std;serif" w:hAnsi="Times New Roman PS Std;serif"/>
          <w:b w:val="false"/>
          <w:i w:val="false"/>
          <w:caps w:val="false"/>
          <w:smallCaps w:val="false"/>
          <w:sz w:val="20"/>
          <w:u w:val="single"/>
        </w:rPr>
        <w:t>Representations and Warranties of AIR</w:t>
      </w:r>
      <w:r>
        <w:rPr>
          <w:rFonts w:ascii="Times New Roman PS Std;serif" w:hAnsi="Times New Roman PS Std;serif"/>
          <w:b w:val="false"/>
          <w:i w:val="false"/>
          <w:caps w:val="false"/>
          <w:smallCaps w:val="false"/>
          <w:sz w:val="20"/>
        </w:rPr>
        <w:t>. AIR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AIR is a legal entity duly organized, validly existing and in good standing under the Laws of the jurisdiction of its incorporation.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AIR has all requisite power and authority to execute and deliver this Agreement, to perform its obligations hereunder and to consummate the transactions contemplated hereby and (ii) the execution and delivery by AIR of this Agreement and the performance of AIR’s obligations and the consummation of the transactions contemplated hereby by AIR have been duly authorized by all necessary action, and no other actions on the part of AIR (or its board of directors) are necessary to authorize or adopt this Agreement or to consummate the transactions contemplated by this Agreement. This Agreement has been duly executed and delivered by AIR and, assuming this Agreement constitutes a valid and binding obligation of Tenax and the Consenting Members, constitutes a valid and binding obligation of AIR, enforceable against AIR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AIR of this Agreement, the performance by AIR of its obligations hereunder or the consummation by AIR of the transactions contemplated hereby does or would reasonably be expected to conflict with or result in a violation or breach of (i) AIR’s articles of incorporation, (ii) any other contract to which AIR is a party or by which AIR may be bound, except for violations, breaches or defaults that, individually or in the aggregate, would not reasonably be expected to in any material respect impair or adversely affect the ability of AIR to perform its obligations under this Agreement, or (iii) any Law applicable to AIR.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AIR, threatened against AIR, or any Order to which AIR is subject, except, in each case, for those that, individually or in the aggregate, would not reasonably be expected to prevent or materially and adversely impair or otherwise affect the ability of AIR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11.  </w:t>
      </w:r>
      <w:r>
        <w:rPr>
          <w:rFonts w:ascii="Times New Roman PS Std;serif" w:hAnsi="Times New Roman PS Std;serif"/>
          <w:b w:val="false"/>
          <w:i w:val="false"/>
          <w:caps w:val="false"/>
          <w:smallCaps w:val="false"/>
          <w:sz w:val="20"/>
          <w:u w:val="single"/>
        </w:rPr>
        <w:t>Representations and Warranties of the Consenting Members</w:t>
      </w:r>
      <w:r>
        <w:rPr>
          <w:rFonts w:ascii="Times New Roman PS Std;serif" w:hAnsi="Times New Roman PS Std;serif"/>
          <w:b w:val="false"/>
          <w:i w:val="false"/>
          <w:caps w:val="false"/>
          <w:smallCaps w:val="false"/>
          <w:sz w:val="20"/>
        </w:rPr>
        <w:t>. Each Consenting Member (severally and not jointly)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If such Consenting Member is not an individual, such Consenting Member is a legal entity duly formed or organized (as applicable), validly existing and in good standing under the Laws of the jurisdiction in which it is formed or organized,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such Consenting Member is an individual, he or she has full legal capacity, right and authority to execute and deliver this Agreement and to perform his or her obligations hereunder and consummate the transactions contemplated hereby. If such Consenting Member is not an individual, (i) such Consenting Member has all requisite power and authority to execute and deliver this Agreement, to perform such Consenting Member’s obligations hereunder and to consummate the transactions contemplated hereby and (ii) the execution and delivery by such Consenting Member of this Agreement and the performance of such Consenting Member’s obligations and the consummation of the transactions contemplated hereby by such Consenting Member have been duly authorized by all necessary action, and no other actions on the part of such Consenting Member (or its governing body, board of directors, members, partners, stockholders or trustees, as applicable) are necessary to authorize or adopt this Agreement or to consummate the transactions contemplated by this Agreement. This Agreement has been duly executed and delivered by such Consenting Member and, assuming this Agreement constitutes a valid and binding obligation of Tenax and AIR, constitutes a valid and binding obligation of such Consenting Member, enforceable against such Consenting Member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None of the execution and delivery by such Consenting Member of this Agreement, the performance by such Consenting Member of such Consenting Member’s obligations hereunder or the consummation by such Consenting Member of the transactions contemplated hereby does or would reasonably be expected to conflict with or result in a violation or breach of, or default under, (i) if such Consenting Member is not an individual, such Consenting Member’s articles or certificate of formation, incorporation or organization, operating agreement, bylaws or comparable organizational documents, as applicable, each in its currently effective form as amended from time to time, (ii) any other contract to which such Consenting Member is a party or by which such Consenting Member may be bound, including any voting agreement or voting trust, except for violations, breaches or defaults that, individually or in the aggregate, would not reasonably be expected to (x) in 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 impair or adversely affect the ability of such Consenting Member to perform such Consenting Member’s obligations under this Agreement on a timely basis or (y) prevent or materially delay or adversely affect the consummation of the Transactions or (iii) any Law applicable to such Consenting Member. The execution, delivery and performance by such Consenting Member of this Agreement, and the consummation by such Consenting Member of the transactions contemplated hereby, require no consent or action by or in respect of, or filing with, any Governmental Authority.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Ownership of Units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Such Consenting Member (i) is the lawful record and Beneficial Owner of the Tenax Units set forth opposite such Consenting Member’s name on Schedule 1(b) attached hereto and has, and at all times prior to the Expiration Date will have, the sole power to vote (or cause to be voted) or Transfer such Tenax Units,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Consenting Member’s Covered Units that may exist pursuant to securities Laws) and (ii) as of the date hereof, does not Beneficially Own or have the right to vote (or cause the voting of) any Tenax Units or other securities of Tenax or any interest therein or any voting rights with respect to any securities of Tenax other than the Tenax Units set forth opposite such Consenting Member’s name on Schedule 1(b) attached 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As of the date hereof, there are no Actions pending or, to the knowledge of such Consenting Member, threatened against such Consenting Member, or any Order to which such Consenting Member is subject, except, in each case, for those that, individually or in the aggregate, would not reasonably be expected to prevent or impair or otherwise adversely affect (i) the ability of such Consenting Member to fully perform such Consenting Member’s obligations under this Agreement on a timely basis or (ii) prevent or materially delay or adversely affect the consummation of the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No Finder’s Fees</w:t>
      </w:r>
      <w:r>
        <w:rPr>
          <w:rFonts w:ascii="Times New Roman PS Std;serif" w:hAnsi="Times New Roman PS Std;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Consenting Member in his, her or its capacity as a member of Tenax.</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12. 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Subject to the terms and conditions of this Agreement, upon request of AIR, each Consenting Member shall execute and deliver such additional documents and take all such further action as may be reasonably necessary or appropriate to fulfill such Consenting Member’s obligations under this Agreement and consummate the transactions contemplated by this Agreement and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13. 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 this Section 13 and Sections 1 and 16 shall survive any termination of the Agreement and (ii) Sections 2, 3, 4, 5 and 8 shall terminate and shall have no further force or effect as of the Expiration Date. Notwithstanding the foregoing, nothing set forth in this Section 13 or elsewhere in this Agreement shall relieve either party hereto from liability, or otherwise limit the liability of a Consenting Member, for any breach of this Agreement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14.  </w:t>
      </w:r>
      <w:r>
        <w:rPr>
          <w:rFonts w:ascii="Times New Roman PS Std;serif" w:hAnsi="Times New Roman PS Std;serif"/>
          <w:b w:val="false"/>
          <w:i w:val="false"/>
          <w:caps w:val="false"/>
          <w:smallCaps w:val="false"/>
          <w:sz w:val="20"/>
          <w:u w:val="single"/>
        </w:rPr>
        <w:t>Transaction Documents</w:t>
      </w:r>
      <w:r>
        <w:rPr>
          <w:rFonts w:ascii="Times New Roman PS Std;serif" w:hAnsi="Times New Roman PS Std;serif"/>
          <w:b w:val="false"/>
          <w:i w:val="false"/>
          <w:caps w:val="false"/>
          <w:smallCaps w:val="false"/>
          <w:sz w:val="20"/>
        </w:rPr>
        <w:t>. Each Consenting Member acknowledges that the Merger Agreement and the other Transaction Documents may be amended in accordance with the terms and conditions set forth in the Merger Agreement and the other Transaction Documents. Each Consenting Member acknowledges, agrees and consents to all such changes to the Merger Agreement and the other Transaction Documents (and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15. 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Each Consenting Member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Consenting Member, or under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16.  </w:t>
      </w:r>
      <w:r>
        <w:rPr>
          <w:rFonts w:ascii="Times New Roman PS Std;serif" w:hAnsi="Times New Roman PS Std;serif"/>
          <w:b w:val="false"/>
          <w:i w:val="false"/>
          <w:caps w:val="false"/>
          <w:smallCaps w:val="false"/>
          <w:sz w:val="20"/>
          <w:u w:val="single"/>
        </w:rPr>
        <w:t>Miscellaneous and General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Amendments; Waivers, Etc</w:t>
      </w:r>
      <w:r>
        <w:rPr>
          <w:rFonts w:ascii="Times New Roman PS Std;serif" w:hAnsi="Times New Roman PS Std;serif"/>
          <w:b w:val="false"/>
          <w:i w:val="false"/>
          <w:caps w:val="false"/>
          <w:smallCaps w:val="false"/>
          <w:sz w:val="20"/>
        </w:rPr>
        <w:t>. This Agreement may not be amended, changed, supplemented or otherwise modified with respect to any Consenting Member, except upon the execution and delivery of a written agreement executed by each of Tenax, AIR and such Consenting Member.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 xml:space="preserve">Governing Law; </w:t>
      </w:r>
      <w:r>
        <w:rPr>
          <w:rFonts w:ascii="Times New Roman PS Std;serif" w:hAnsi="Times New Roman PS Std;serif"/>
          <w:b w:val="false"/>
          <w:i w:val="false"/>
          <w:caps/>
          <w:sz w:val="20"/>
          <w:u w:val="single"/>
        </w:rPr>
        <w:t>Waiver of Jury Trial</w:t>
      </w:r>
      <w:r>
        <w:rPr>
          <w:rFonts w:ascii="Times New Roman PS Std;serif" w:hAnsi="Times New Roman PS Std;serif"/>
          <w:b w:val="false"/>
          <w:i/>
          <w:sz w:val="20"/>
        </w:rPr>
        <w:t>.</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16(d) shall be effective service of process for any such action.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16(c)(ii).</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16(d):</w:t>
      </w:r>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3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br/>
              <w:t>400 West Parkway Place, Suite 201</w:t>
              <w:br/>
              <w:t>Ridgeland, Mississippi 39157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 (which shall not constitute notice):</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br/>
              <w:t>104 Field Point Road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Greenwich, Connecticut 06830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keepNext w:val="false"/>
        <w:pageBreakBefore w:val="false"/>
        <w:widowControl/>
        <w:pBdr/>
        <w:bidi w:val="0"/>
        <w:spacing w:before="160" w:after="283"/>
        <w:ind w:left="2160" w:right="0" w:hanging="72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Two Manhattan West</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375 Ninth Avenue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New York, New York 10001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AIR:</w:t>
      </w:r>
    </w:p>
    <w:tbl>
      <w:tblPr>
        <w:tblW w:w="5765" w:type="dxa"/>
        <w:jc w:val="left"/>
        <w:tblInd w:w="0" w:type="dxa"/>
        <w:tblLayout w:type="fixed"/>
        <w:tblCellMar>
          <w:top w:w="0" w:type="dxa"/>
          <w:left w:w="0" w:type="dxa"/>
          <w:bottom w:w="0" w:type="dxa"/>
          <w:right w:w="0" w:type="dxa"/>
        </w:tblCellMar>
      </w:tblPr>
      <w:tblGrid>
        <w:gridCol w:w="161"/>
        <w:gridCol w:w="146"/>
        <w:gridCol w:w="1186"/>
        <w:gridCol w:w="146"/>
        <w:gridCol w:w="41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5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1460 Fifth Avenue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Bay Shore, New York 11706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631-968-5000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41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(which shall not constitute notice):</w:t>
      </w:r>
    </w:p>
    <w:tbl>
      <w:tblPr>
        <w:tblW w:w="3980" w:type="dxa"/>
        <w:jc w:val="left"/>
        <w:tblInd w:w="0" w:type="dxa"/>
        <w:tblLayout w:type="fixed"/>
        <w:tblCellMar>
          <w:top w:w="0" w:type="dxa"/>
          <w:left w:w="0" w:type="dxa"/>
          <w:bottom w:w="0" w:type="dxa"/>
          <w:right w:w="0" w:type="dxa"/>
        </w:tblCellMar>
      </w:tblPr>
      <w:tblGrid>
        <w:gridCol w:w="161"/>
        <w:gridCol w:w="146"/>
        <w:gridCol w:w="1186"/>
        <w:gridCol w:w="146"/>
        <w:gridCol w:w="234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1345 Avenue of the Americas</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New York, New York 10105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Goodwin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212-370-1300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cgoodwin@egsllp.com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 Consenting Member, to such Consenting Member at the address corresponding to such Consenting Member’s name on Schedule 1(b).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may be given to such other persons or addresses as may be designated in writing by the party to receive such notice as provided above.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Parties in Interest; No Third Party Beneficiaries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sz w:val="20"/>
        </w:rPr>
        <w:t>.</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(k)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Pages Follow]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3742" w:type="dxa"/>
        <w:jc w:val="left"/>
        <w:tblInd w:w="0" w:type="dxa"/>
        <w:tblLayout w:type="fixed"/>
        <w:tblCellMar>
          <w:top w:w="0" w:type="dxa"/>
          <w:left w:w="0" w:type="dxa"/>
          <w:bottom w:w="0" w:type="dxa"/>
          <w:right w:w="0" w:type="dxa"/>
        </w:tblCellMar>
      </w:tblPr>
      <w:tblGrid>
        <w:gridCol w:w="161"/>
        <w:gridCol w:w="146"/>
        <w:gridCol w:w="874"/>
        <w:gridCol w:w="303"/>
        <w:gridCol w:w="1559"/>
        <w:gridCol w:w="303"/>
        <w:gridCol w:w="3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435"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03" w:type="dxa"/>
            <w:tcBorders/>
          </w:tcPr>
          <w:p>
            <w:pPr>
              <w:pStyle w:val="TableContents"/>
              <w:bidi w:val="0"/>
              <w:spacing w:before="0" w:after="283"/>
              <w:jc w:val="left"/>
              <w:rPr/>
            </w:pPr>
            <w:r>
              <w:rPr/>
              <w:t> </w:t>
            </w:r>
          </w:p>
        </w:tc>
        <w:tc>
          <w:tcPr>
            <w:tcW w:w="2258"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03" w:type="dxa"/>
            <w:tcBorders/>
          </w:tcPr>
          <w:p>
            <w:pPr>
              <w:pStyle w:val="TableContents"/>
              <w:bidi w:val="0"/>
              <w:spacing w:before="0" w:after="283"/>
              <w:jc w:val="left"/>
              <w:rPr/>
            </w:pPr>
            <w:r>
              <w:rPr/>
              <w:t> </w:t>
            </w:r>
          </w:p>
        </w:tc>
        <w:tc>
          <w:tcPr>
            <w:tcW w:w="3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74" w:type="dxa"/>
            <w:tcBorders/>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03" w:type="dxa"/>
            <w:tcBorders/>
          </w:tcPr>
          <w:p>
            <w:pPr>
              <w:pStyle w:val="TableContents"/>
              <w:bidi w:val="0"/>
              <w:spacing w:before="0" w:after="283"/>
              <w:jc w:val="left"/>
              <w:rPr/>
            </w:pPr>
            <w:r>
              <w:rPr/>
              <w:t> </w:t>
            </w:r>
          </w:p>
        </w:tc>
        <w:tc>
          <w:tcPr>
            <w:tcW w:w="396"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Tenax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391" w:type="dxa"/>
        <w:jc w:val="left"/>
        <w:tblInd w:w="0" w:type="dxa"/>
        <w:tblLayout w:type="fixed"/>
        <w:tblCellMar>
          <w:top w:w="0" w:type="dxa"/>
          <w:left w:w="0" w:type="dxa"/>
          <w:bottom w:w="0" w:type="dxa"/>
          <w:right w:w="0" w:type="dxa"/>
        </w:tblCellMar>
      </w:tblPr>
      <w:tblGrid>
        <w:gridCol w:w="161"/>
        <w:gridCol w:w="146"/>
        <w:gridCol w:w="530"/>
        <w:gridCol w:w="184"/>
        <w:gridCol w:w="946"/>
        <w:gridCol w:w="184"/>
        <w:gridCol w:w="24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084"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3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4" w:type="dxa"/>
            <w:tcBorders/>
          </w:tcPr>
          <w:p>
            <w:pPr>
              <w:pStyle w:val="TableContents"/>
              <w:bidi w:val="0"/>
              <w:spacing w:before="0" w:after="283"/>
              <w:jc w:val="left"/>
              <w:rPr/>
            </w:pPr>
            <w:r>
              <w:rPr/>
              <w:t> </w:t>
            </w:r>
          </w:p>
        </w:tc>
        <w:tc>
          <w:tcPr>
            <w:tcW w:w="1370"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4"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184"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84"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AIR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916" w:type="dxa"/>
        <w:jc w:val="left"/>
        <w:tblInd w:w="0" w:type="dxa"/>
        <w:tblLayout w:type="fixed"/>
        <w:tblCellMar>
          <w:top w:w="0" w:type="dxa"/>
          <w:left w:w="0" w:type="dxa"/>
          <w:bottom w:w="0" w:type="dxa"/>
          <w:right w:w="0" w:type="dxa"/>
        </w:tblCellMar>
      </w:tblPr>
      <w:tblGrid>
        <w:gridCol w:w="161"/>
        <w:gridCol w:w="146"/>
        <w:gridCol w:w="664"/>
        <w:gridCol w:w="230"/>
        <w:gridCol w:w="1184"/>
        <w:gridCol w:w="230"/>
        <w:gridCol w:w="30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09"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30" w:type="dxa"/>
            <w:tcBorders/>
          </w:tcPr>
          <w:p>
            <w:pPr>
              <w:pStyle w:val="TableContents"/>
              <w:bidi w:val="0"/>
              <w:spacing w:before="0" w:after="283"/>
              <w:jc w:val="left"/>
              <w:rPr/>
            </w:pPr>
            <w:r>
              <w:rPr/>
              <w:t> </w:t>
            </w:r>
          </w:p>
        </w:tc>
        <w:tc>
          <w:tcPr>
            <w:tcW w:w="1715"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18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30" w:type="dxa"/>
            <w:tcBorders/>
          </w:tcPr>
          <w:p>
            <w:pPr>
              <w:pStyle w:val="TableContents"/>
              <w:bidi w:val="0"/>
              <w:spacing w:before="0" w:after="283"/>
              <w:jc w:val="left"/>
              <w:rPr/>
            </w:pPr>
            <w:r>
              <w:rPr/>
              <w:t> </w:t>
            </w:r>
          </w:p>
        </w:tc>
        <w:tc>
          <w:tcPr>
            <w:tcW w:w="30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18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30" w:type="dxa"/>
            <w:tcBorders/>
          </w:tcPr>
          <w:p>
            <w:pPr>
              <w:pStyle w:val="TableContents"/>
              <w:bidi w:val="0"/>
              <w:spacing w:before="0" w:after="283"/>
              <w:jc w:val="left"/>
              <w:rPr/>
            </w:pPr>
            <w:r>
              <w:rPr/>
              <w:t> </w:t>
            </w:r>
          </w:p>
        </w:tc>
        <w:tc>
          <w:tcPr>
            <w:tcW w:w="301"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Consenting Member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1(b)</w:t>
      </w:r>
    </w:p>
    <w:tbl>
      <w:tblPr>
        <w:tblW w:w="10205" w:type="dxa"/>
        <w:jc w:val="left"/>
        <w:tblInd w:w="0" w:type="dxa"/>
        <w:tblLayout w:type="fixed"/>
        <w:tblCellMar>
          <w:top w:w="0" w:type="dxa"/>
          <w:left w:w="0" w:type="dxa"/>
          <w:bottom w:w="0" w:type="dxa"/>
          <w:right w:w="0" w:type="dxa"/>
        </w:tblCellMar>
      </w:tblPr>
      <w:tblGrid>
        <w:gridCol w:w="2406"/>
        <w:gridCol w:w="146"/>
        <w:gridCol w:w="2452"/>
        <w:gridCol w:w="146"/>
        <w:gridCol w:w="1773"/>
        <w:gridCol w:w="146"/>
        <w:gridCol w:w="1244"/>
        <w:gridCol w:w="363"/>
        <w:gridCol w:w="146"/>
        <w:gridCol w:w="977"/>
        <w:gridCol w:w="406"/>
      </w:tblGrid>
      <w:tr>
        <w:trPr/>
        <w:tc>
          <w:tcPr>
            <w:tcW w:w="2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Consenting Member</w:t>
            </w:r>
          </w:p>
        </w:tc>
        <w:tc>
          <w:tcPr>
            <w:tcW w:w="146" w:type="dxa"/>
            <w:tcBorders/>
            <w:vAlign w:val="bottom"/>
          </w:tcPr>
          <w:p>
            <w:pPr>
              <w:pStyle w:val="TableContents"/>
              <w:bidi w:val="0"/>
              <w:spacing w:before="0" w:after="283"/>
              <w:jc w:val="left"/>
              <w:rPr/>
            </w:pPr>
            <w:r>
              <w:rPr/>
              <w:t> </w:t>
            </w:r>
          </w:p>
        </w:tc>
        <w:tc>
          <w:tcPr>
            <w:tcW w:w="24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 Units</w:t>
            </w:r>
          </w:p>
        </w:tc>
        <w:tc>
          <w:tcPr>
            <w:tcW w:w="146" w:type="dxa"/>
            <w:tcBorders/>
            <w:vAlign w:val="bottom"/>
          </w:tcPr>
          <w:p>
            <w:pPr>
              <w:pStyle w:val="TableContents"/>
              <w:bidi w:val="0"/>
              <w:spacing w:before="0" w:after="283"/>
              <w:jc w:val="left"/>
              <w:rPr/>
            </w:pPr>
            <w:r>
              <w:rPr/>
              <w:t> </w:t>
            </w:r>
          </w:p>
        </w:tc>
        <w:tc>
          <w:tcPr>
            <w:tcW w:w="17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Tenax </w:t>
              <w:br/>
              <w:t xml:space="preserve">Units Issuable </w:t>
              <w:br/>
              <w:t>Under Warrants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Ownership </w:t>
              <w:br/>
              <w:t xml:space="preserve">Percentage </w:t>
              <w:br/>
              <w:t>(Fully Diluted)</w:t>
            </w:r>
          </w:p>
        </w:tc>
        <w:tc>
          <w:tcPr>
            <w:tcW w:w="146"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Voting </w:t>
              <w:br/>
              <w:t>Percentage</w:t>
            </w:r>
          </w:p>
        </w:tc>
      </w:tr>
      <w:tr>
        <w:trPr/>
        <w:tc>
          <w:tcPr>
            <w:tcW w:w="24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c>
          <w:tcPr>
            <w:tcW w:w="146" w:type="dxa"/>
            <w:tcBorders/>
            <w:shd w:fill="CCEEFF" w:val="clear"/>
          </w:tcPr>
          <w:p>
            <w:pPr>
              <w:pStyle w:val="TableContents"/>
              <w:bidi w:val="0"/>
              <w:spacing w:before="0" w:after="283"/>
              <w:jc w:val="left"/>
              <w:rPr/>
            </w:pPr>
            <w:r>
              <w:rPr/>
              <w:t> </w:t>
            </w:r>
          </w:p>
        </w:tc>
        <w:tc>
          <w:tcPr>
            <w:tcW w:w="2452"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6,570,000 Class A-1 Units</w:t>
            </w:r>
          </w:p>
        </w:tc>
        <w:tc>
          <w:tcPr>
            <w:tcW w:w="146" w:type="dxa"/>
            <w:tcBorders/>
            <w:shd w:fill="CCEEFF" w:val="clear"/>
          </w:tcPr>
          <w:p>
            <w:pPr>
              <w:pStyle w:val="TableContents"/>
              <w:bidi w:val="0"/>
              <w:spacing w:before="0" w:after="283"/>
              <w:jc w:val="left"/>
              <w:rPr/>
            </w:pPr>
            <w:r>
              <w:rPr/>
              <w:t> </w:t>
            </w:r>
          </w:p>
        </w:tc>
        <w:tc>
          <w:tcPr>
            <w:tcW w:w="17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tcPr>
          <w:p>
            <w:pPr>
              <w:pStyle w:val="TableContents"/>
              <w:bidi w:val="0"/>
              <w:spacing w:before="0" w:after="283"/>
              <w:jc w:val="left"/>
              <w:rPr/>
            </w:pPr>
            <w:r>
              <w:rPr/>
              <w:t> </w:t>
            </w:r>
          </w:p>
        </w:tc>
        <w:tc>
          <w:tcPr>
            <w:tcW w:w="124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79.814578</w:t>
            </w:r>
          </w:p>
        </w:tc>
        <w:tc>
          <w:tcPr>
            <w:tcW w:w="363"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97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84.0153</w:t>
            </w:r>
          </w:p>
        </w:tc>
        <w:tc>
          <w:tcPr>
            <w:tcW w:w="4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17" w:name="T5202"/>
      <w:bookmarkEnd w:id="117"/>
      <w:r>
        <w:rPr>
          <w:rFonts w:ascii="Times New Roman PS Std;serif" w:hAnsi="Times New Roman PS Std;serif"/>
          <w:b/>
          <w:i w:val="false"/>
          <w:caps w:val="false"/>
          <w:smallCaps w:val="false"/>
          <w:sz w:val="20"/>
        </w:rPr>
        <w:t xml:space="preserve">EXHIBIT C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Tenax Member Lock-Up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LOCK-UP AGREEMENT</w:t>
      </w:r>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16, 2026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Ladies and Gentlemen: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undersigned signatory of this lock-up agreement (this “</w:t>
      </w:r>
      <w:r>
        <w:rPr>
          <w:rFonts w:ascii="Times New Roman PS Std;serif" w:hAnsi="Times New Roman PS Std;serif"/>
          <w:b w:val="false"/>
          <w:i w:val="false"/>
          <w:caps w:val="false"/>
          <w:smallCaps w:val="false"/>
          <w:sz w:val="20"/>
          <w:u w:val="single"/>
        </w:rPr>
        <w:t>Letter Agreement</w:t>
      </w:r>
      <w:r>
        <w:rPr>
          <w:caps w:val="false"/>
          <w:smallCaps w:val="false"/>
        </w:rPr>
        <w:t>”</w:t>
      </w:r>
      <w:r>
        <w:rPr>
          <w:rFonts w:ascii="Times New Roman PS Std;serif" w:hAnsi="Times New Roman PS Std;serif"/>
          <w:b w:val="false"/>
          <w:i w:val="false"/>
          <w:caps w:val="false"/>
          <w:smallCaps w:val="false"/>
          <w:sz w:val="20"/>
        </w:rPr>
        <w:t>) understands that Air Industries Group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has entered into an Agreement and Plan of Merger, dated as of February 16, 2026 (as the same may be amended, restated or otherwise modified from time to time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with Tenax Aerospace Acquisition, LLC, a Delaware limited liability company, and Transitory Air Sub LLC, a Delaware limited liability company. Capitalized terms used herein and not otherwise defined shall have the meanings set forth in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As a condition and inducement to the parties entering into the Merger Agreement and consummating the Transactions, and for other good and valuable consideration, the receipt and sufficiency of which is hereby acknowledged, the undersigned hereby irrevocably agrees that, subject to the exceptions set forth herein, without the prior written consent of AIR, the undersigned will not, during the period commencing upon the Closing and ending on the date that is 180 days after the Closing Date (such period, the “</w:t>
      </w:r>
      <w:r>
        <w:rPr>
          <w:rFonts w:ascii="Times New Roman PS Std;serif" w:hAnsi="Times New Roman PS Std;serif"/>
          <w:b w:val="false"/>
          <w:i w:val="false"/>
          <w:caps w:val="false"/>
          <w:smallCaps w:val="false"/>
          <w:sz w:val="20"/>
          <w:u w:val="single"/>
        </w:rPr>
        <w:t>Restricted Period</w:t>
      </w:r>
      <w:r>
        <w:rPr>
          <w:caps w:val="false"/>
          <w:smallCaps w:val="false"/>
        </w:rPr>
        <w:t>”</w:t>
      </w:r>
      <w:r>
        <w:rPr>
          <w:rFonts w:ascii="Times New Roman PS Std;serif" w:hAnsi="Times New Roman PS Std;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$0.001 per share par value, of AIR (“</w:t>
      </w:r>
      <w:r>
        <w:rPr>
          <w:rFonts w:ascii="Times New Roman PS Std;serif" w:hAnsi="Times New Roman PS Std;serif"/>
          <w:b w:val="false"/>
          <w:i w:val="false"/>
          <w:caps w:val="false"/>
          <w:smallCaps w:val="false"/>
          <w:sz w:val="20"/>
          <w:u w:val="single"/>
        </w:rPr>
        <w:t>AIR Common Stock</w:t>
      </w:r>
      <w:r>
        <w:rPr>
          <w:caps w:val="false"/>
          <w:smallCaps w:val="false"/>
        </w:rPr>
        <w:t>”</w:t>
      </w:r>
      <w:r>
        <w:rPr>
          <w:rFonts w:ascii="Times New Roman PS Std;serif" w:hAnsi="Times New Roman PS Std;serif"/>
          <w:b w:val="false"/>
          <w:i w:val="false"/>
          <w:caps w:val="false"/>
          <w:smallCaps w:val="false"/>
          <w:sz w:val="20"/>
        </w:rPr>
        <w:t>) or any securities convertible into or exercisable or exchangeable for AIR Common Stock (including without limitation, AIR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AIR Common Stock, “</w:t>
      </w:r>
      <w:r>
        <w:rPr>
          <w:rFonts w:ascii="Times New Roman PS Std;serif" w:hAnsi="Times New Roman PS Std;serif"/>
          <w:b w:val="false"/>
          <w:i w:val="false"/>
          <w:caps w:val="false"/>
          <w:smallCaps w:val="false"/>
          <w:sz w:val="20"/>
          <w:u w:val="single"/>
        </w:rPr>
        <w:t>Lock-Up Securities</w:t>
      </w:r>
      <w:r>
        <w:rPr>
          <w:caps w:val="false"/>
          <w:smallCaps w:val="false"/>
        </w:rPr>
        <w:t>”</w:t>
      </w:r>
      <w:r>
        <w:rPr>
          <w:rFonts w:ascii="Times New Roman PS Std;serif" w:hAnsi="Times New Roman PS Std;serif"/>
          <w:b w:val="false"/>
          <w:i w:val="false"/>
          <w:caps w:val="false"/>
          <w:smallCaps w:val="false"/>
          <w:sz w:val="20"/>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the undersigned may: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transfer the undersigned’s Lock-Up Securities: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as a bona fide gift or gifts, or for bona fide estate planning purposes, including to charitable organizations,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by will or intestacy,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to a partnership, limited liability company or other entity of which the undersigned and the immediate family of the undersigned are the legal and beneficial owner of all of the outstanding equity securities or similar interests,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to a nominee or custodian of a person or entity to whom a disposition or transfer would be permissible under clauses (i) through (iv) above,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by operation of law, such as pursuant to a qualified domestic order, divorce settlement, divorce decree separation agreement or an order of a regulatory agency,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to AIR from an employee of AIR or any of its Subsidiaries upon death, disability or termination of employment, in each case, of such employee,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as part of a sale of the undersigned’s Lock-Up Securities acquired in open market transactions after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(x) to AIR in connection with the vesting, settlement or exercise of restricted stock units, options, warrants or other rights to purchase shares of AIR Common Stock (including, in each case, by way of “net” or “cashless” exercise), including for the payment of exercise price and tax and remittance payments due as a result of the vesting, settlement or exercise of such restricted stock units, options, warrants or other rights;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any such shares of AIR Common Stock received upon such exercise, vesting or settlement shall be subject to the terms of this Letter Agreement; </w:t>
      </w:r>
      <w:r>
        <w:rPr>
          <w:rFonts w:ascii="Times New Roman PS Std;serif" w:hAnsi="Times New Roman PS Std;serif"/>
          <w:b w:val="false"/>
          <w:i w:val="false"/>
          <w:caps w:val="false"/>
          <w:smallCaps w:val="false"/>
          <w:sz w:val="20"/>
          <w:u w:val="single"/>
        </w:rPr>
        <w:t>provided further</w:t>
      </w:r>
      <w:r>
        <w:rPr>
          <w:caps w:val="false"/>
          <w:smallCaps w:val="false"/>
        </w:rPr>
        <w:t xml:space="preserve"> </w:t>
      </w:r>
      <w:r>
        <w:rPr>
          <w:rFonts w:ascii="Times New Roman PS Std;serif" w:hAnsi="Times New Roman PS Std;serif"/>
          <w:b w:val="false"/>
          <w:i w:val="false"/>
          <w:caps w:val="false"/>
          <w:smallCaps w:val="false"/>
          <w:sz w:val="20"/>
        </w:rPr>
        <w:t>that any such restricted stock units, options, warrants or other rights are held by the undersigned pursuant to an agreement or equity awards granted under a stock incentive plan or other equity award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(xi) pursuant to a bona fide third-party tender offer, merger, consolidation or other similar transaction that is approved by the Board of Directors of AIR and made to all holders of the AIR’s capital stock involving a Change of Control (as defined below) of AIR (for purposes hereof, “</w:t>
      </w:r>
      <w:r>
        <w:rPr>
          <w:rFonts w:ascii="Times New Roman PS Std;serif" w:hAnsi="Times New Roman PS Std;serif"/>
          <w:b w:val="false"/>
          <w:i w:val="false"/>
          <w:caps w:val="false"/>
          <w:smallCaps w:val="false"/>
          <w:sz w:val="20"/>
          <w:u w:val="single"/>
        </w:rPr>
        <w:t>Change of Control</w:t>
      </w:r>
      <w:r>
        <w:rPr>
          <w:caps w:val="false"/>
          <w:smallCaps w:val="false"/>
        </w:rPr>
        <w:t xml:space="preserve">” </w:t>
      </w:r>
      <w:r>
        <w:rPr>
          <w:rFonts w:ascii="Times New Roman PS Std;serif" w:hAnsi="Times New Roman PS Std;serif"/>
          <w:b w:val="false"/>
          <w:i w:val="false"/>
          <w:caps w:val="false"/>
          <w:smallCaps w:val="false"/>
          <w:sz w:val="20"/>
        </w:rPr>
        <w:t xml:space="preserve">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AIR (or the surviving entity));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event that such tender offer, merger, consolidation or other similar transaction is not completed, the undersigned’s Lock-Up Securities shall remain subject to the provisions of this Letter Agreement; 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(xii) (A) pursuant to a pledge or hypothecation of any Lock-Up Securities to a nationally recognized bank experienced in margin lending (a “</w:t>
      </w:r>
      <w:r>
        <w:rPr>
          <w:rFonts w:ascii="Times New Roman PS Std;serif" w:hAnsi="Times New Roman PS Std;serif"/>
          <w:b w:val="false"/>
          <w:i w:val="false"/>
          <w:caps w:val="false"/>
          <w:smallCaps w:val="false"/>
          <w:sz w:val="20"/>
          <w:u w:val="single"/>
        </w:rPr>
        <w:t>Collateral Pledgee</w:t>
      </w:r>
      <w:r>
        <w:rPr>
          <w:caps w:val="false"/>
          <w:smallCaps w:val="false"/>
        </w:rPr>
        <w:t>”</w:t>
      </w:r>
      <w:r>
        <w:rPr>
          <w:rFonts w:ascii="Times New Roman PS Std;serif" w:hAnsi="Times New Roman PS Std;serif"/>
          <w:b w:val="false"/>
          <w:i w:val="false"/>
          <w:caps w:val="false"/>
          <w:smallCaps w:val="false"/>
          <w:sz w:val="20"/>
        </w:rPr>
        <w:t>) for purposes of collateralizing a margin loan, or any entry into a contract, option or other arrangement or understanding with respect thereto; (B) in which any Collateral Pledgee exercises its rights to foreclose upon and take ownership of any Lock-Up Securities pledged to it; or (C) in which such Collateral Pledgee transfers any Lock-Up Securities that such Collateral Pledgee took ownership of in connection with exercise of such Collateral Pledgee’s rights of foreclosure;</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 in the case of any transfer or distribution pursuant to clause (a)(i), (ii), (iii), (iv), (v), (vi) and (vii), such transfer shall not involve a disposition for value and each donee, devisee, transferee or distributee shall execute and deliver to AIR a lock-up letter in the form of this Letter Agreement, (B) in the case of any transfer or distribution pursuant to clause (a), no filing by any party (donor, donee, devisee, transferor, transferee, distributer or distributee) under the Securities Exchange Act of 1934, as amended (the “</w:t>
      </w:r>
      <w:r>
        <w:rPr>
          <w:rFonts w:ascii="Times New Roman PS Std;serif" w:hAnsi="Times New Roman PS Std;serif"/>
          <w:b w:val="false"/>
          <w:i w:val="false"/>
          <w:caps w:val="false"/>
          <w:smallCaps w:val="false"/>
          <w:sz w:val="20"/>
          <w:u w:val="single"/>
        </w:rPr>
        <w:t>Exchange Act</w:t>
      </w:r>
      <w:r>
        <w:rPr>
          <w:caps w:val="false"/>
          <w:smallCaps w:val="false"/>
        </w:rPr>
        <w:t>”</w:t>
      </w:r>
      <w:r>
        <w:rPr>
          <w:rFonts w:ascii="Times New Roman PS Std;serif" w:hAnsi="Times New Roman PS Std;serif"/>
          <w:b w:val="false"/>
          <w:i w:val="false"/>
          <w:caps w:val="false"/>
          <w:smallCaps w:val="false"/>
          <w:sz w:val="20"/>
        </w:rPr>
        <w:t xml:space="preserve">),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and (viii), it shall be a condition to such transfer that no public filing, report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announcement shall be voluntarily made, and if any filing under Section 16(a) of the Exchange Act or other public filing, report or announcement reporting a reduction in beneficial ownership of shares of AIR Common Stock in connection with such transfer or distribution shall be legally required during the Restricted Period, such filing, report or announcement shall clearly indicate in the footnotes thereto the nature and conditions of such transfer;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exercise outstanding options, settle restricted stock units or other equity awards or exercise warrants pursuant to plans of AIR;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any Lock-Up Securities received upon such exercise, vesting or settlement shall be subject to the terms of this Letter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(c) convert outstanding preferred stock, warrants to acquire preferred stock or convertible securities into shares of AIR Common Stock or warrants to acquire shares of AIR Common Stock;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any such shares of AIR Common Stock or warrants received upon such conversion shall be subject to the terms of this Letter Agreement; 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(d) establish trading plans pursuant to Rule 10b5-1 under the Exchange Act for the transfer of shares of Lock-Up Securities;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(1) such plans do not provide for the transfer of Lock-Up Securities during the Restricted Period, other than filings required under the Exchange Act, and (2) no filing by any party under the Exchange Act or other public announcement shall be required or made voluntarily in connection with such trading plan.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of the foregoing, AIR,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and all remedies herein expressly conferred upon AIR will be deemed cumulative with and not exclusive of any other remedy conferred hereby, or by Law or equity, and the exercise by AIR of any one remedy will not preclude the exercise of any other remedy. The undersigned agrees that irreparable damage would occur to AIR in the event that any provision of this Letter Agreement were not performed in accordance with its specific terms or were otherwise breached. It is accordingly agreed that AIR shall be entitled to an injunction or injunctions to prevent breaches of this Letter Agreement and to enforce specifically the terms and provisions hereof in any court of the United States or any state having jurisdiction, this being in addition to any other remedy to which AIR is entitled at Law or in equity, and the undersigned waives any bond, surety or other security that might be required of AIR with respect thereto.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Letter Agreement may be executed in several counterparts, each of which shall be deemed an original and all of which shall constitute one and the same instrument. The exchange of a fully executed Letter Agreement (in counterparts or otherwise) by AIR and the undersigned by facsimile or electronic transmission in .pdf format shall be sufficient to bind such parties to the terms and conditions of this Letter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Letter Agreement and any claim, controversy or dispute arising under or related to this Letter Agreement shall be governed by and construed in accordance with the laws of the State of Nevada. This Letter Agreement shall automatically terminate and cease to be of further force and effect upon the valid termination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10" w:type="dxa"/>
        <w:jc w:val="left"/>
        <w:tblInd w:w="0" w:type="dxa"/>
        <w:tblLayout w:type="fixed"/>
        <w:tblCellMar>
          <w:top w:w="0" w:type="dxa"/>
          <w:left w:w="0" w:type="dxa"/>
          <w:bottom w:w="0" w:type="dxa"/>
          <w:right w:w="0" w:type="dxa"/>
        </w:tblCellMar>
      </w:tblPr>
      <w:tblGrid>
        <w:gridCol w:w="161"/>
        <w:gridCol w:w="146"/>
        <w:gridCol w:w="713"/>
        <w:gridCol w:w="247"/>
        <w:gridCol w:w="1273"/>
        <w:gridCol w:w="247"/>
        <w:gridCol w:w="323"/>
      </w:tblGrid>
      <w:tr>
        <w:trPr/>
        <w:tc>
          <w:tcPr>
            <w:tcW w:w="3110" w:type="dxa"/>
            <w:gridSpan w:val="7"/>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03" w:type="dxa"/>
            <w:gridSpan w:val="5"/>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NAME OF TENAX MEMBER</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47" w:type="dxa"/>
            <w:tcBorders/>
          </w:tcPr>
          <w:p>
            <w:pPr>
              <w:pStyle w:val="TableContents"/>
              <w:bidi w:val="0"/>
              <w:spacing w:before="0" w:after="283"/>
              <w:jc w:val="left"/>
              <w:rPr/>
            </w:pPr>
            <w:r>
              <w:rPr/>
              <w:t> </w:t>
            </w:r>
          </w:p>
        </w:tc>
        <w:tc>
          <w:tcPr>
            <w:tcW w:w="1843"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 </w:t>
            </w:r>
          </w:p>
        </w:tc>
        <w:tc>
          <w:tcPr>
            <w:tcW w:w="127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47" w:type="dxa"/>
            <w:tcBorders/>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 </w:t>
            </w:r>
          </w:p>
        </w:tc>
        <w:tc>
          <w:tcPr>
            <w:tcW w:w="127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47" w:type="dxa"/>
            <w:tcBorders/>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 </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Tenax Member Lock-Up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916" w:type="dxa"/>
        <w:jc w:val="left"/>
        <w:tblInd w:w="0" w:type="dxa"/>
        <w:tblLayout w:type="fixed"/>
        <w:tblCellMar>
          <w:top w:w="0" w:type="dxa"/>
          <w:left w:w="0" w:type="dxa"/>
          <w:bottom w:w="0" w:type="dxa"/>
          <w:right w:w="0" w:type="dxa"/>
        </w:tblCellMar>
      </w:tblPr>
      <w:tblGrid>
        <w:gridCol w:w="161"/>
        <w:gridCol w:w="146"/>
        <w:gridCol w:w="664"/>
        <w:gridCol w:w="230"/>
        <w:gridCol w:w="1184"/>
        <w:gridCol w:w="230"/>
        <w:gridCol w:w="30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09"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ACCEPTED AND AGREED: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09" w:type="dxa"/>
            <w:gridSpan w:val="5"/>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30" w:type="dxa"/>
            <w:tcBorders/>
          </w:tcPr>
          <w:p>
            <w:pPr>
              <w:pStyle w:val="TableContents"/>
              <w:bidi w:val="0"/>
              <w:spacing w:before="0" w:after="283"/>
              <w:jc w:val="left"/>
              <w:rPr/>
            </w:pPr>
            <w:r>
              <w:rPr/>
              <w:t> </w:t>
            </w:r>
          </w:p>
        </w:tc>
        <w:tc>
          <w:tcPr>
            <w:tcW w:w="1715"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18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30" w:type="dxa"/>
            <w:tcBorders/>
          </w:tcPr>
          <w:p>
            <w:pPr>
              <w:pStyle w:val="TableContents"/>
              <w:bidi w:val="0"/>
              <w:spacing w:before="0" w:after="283"/>
              <w:jc w:val="left"/>
              <w:rPr/>
            </w:pPr>
            <w:r>
              <w:rPr/>
              <w:t> </w:t>
            </w:r>
          </w:p>
        </w:tc>
        <w:tc>
          <w:tcPr>
            <w:tcW w:w="30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18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30" w:type="dxa"/>
            <w:tcBorders/>
          </w:tcPr>
          <w:p>
            <w:pPr>
              <w:pStyle w:val="TableContents"/>
              <w:bidi w:val="0"/>
              <w:spacing w:before="0" w:after="283"/>
              <w:jc w:val="left"/>
              <w:rPr/>
            </w:pPr>
            <w:r>
              <w:rPr/>
              <w:t> </w:t>
            </w:r>
          </w:p>
        </w:tc>
        <w:tc>
          <w:tcPr>
            <w:tcW w:w="301" w:type="dxa"/>
            <w:tcBorders/>
          </w:tcPr>
          <w:p>
            <w:pPr>
              <w:pStyle w:val="TableContents"/>
              <w:bidi w:val="0"/>
              <w:spacing w:before="0" w:after="283"/>
              <w:jc w:val="left"/>
              <w:rPr/>
            </w:pPr>
            <w:r>
              <w:rPr/>
              <w:t> </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Tenax Member Lock-Up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18" w:name="T5203"/>
      <w:bookmarkEnd w:id="118"/>
      <w:r>
        <w:rPr>
          <w:rFonts w:ascii="Times New Roman PS Std;serif" w:hAnsi="Times New Roman PS Std;serif"/>
          <w:b/>
          <w:i w:val="false"/>
          <w:caps w:val="false"/>
          <w:smallCaps w:val="false"/>
          <w:sz w:val="20"/>
        </w:rPr>
        <w:t xml:space="preserve">EXHIBIT D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Limited Liability Company Agreement of the Surviving Company</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THIRD AMENDED AND RESTATED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LIMITED LIABILITY COMPANY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This Third Amended and Restated Limited Liability Company Agreement (the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of Tenax Aerospace Acquisition, LLC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is entered into by Air Industries Group, a Nevada Corporation (the “</w:t>
      </w:r>
      <w:r>
        <w:rPr>
          <w:rFonts w:ascii="Times New Roman PS Std;serif" w:hAnsi="Times New Roman PS Std;serif"/>
          <w:b w:val="false"/>
          <w:i w:val="false"/>
          <w:caps w:val="false"/>
          <w:smallCaps w:val="false"/>
          <w:sz w:val="20"/>
          <w:u w:val="single"/>
        </w:rPr>
        <w:t>Member</w:t>
      </w:r>
      <w:r>
        <w:rPr>
          <w:caps w:val="false"/>
          <w:smallCaps w:val="false"/>
        </w:rPr>
        <w:t>”</w:t>
      </w:r>
      <w:r>
        <w:rPr>
          <w:rFonts w:ascii="Times New Roman PS Std;serif" w:hAnsi="Times New Roman PS Std;serif"/>
          <w:b w:val="false"/>
          <w:i w:val="false"/>
          <w:caps w:val="false"/>
          <w:smallCaps w:val="false"/>
          <w:sz w:val="20"/>
        </w:rPr>
        <w:t>), and amends and restates in its entirety the Second Amended and Restated Limited Liability Company Agreement of the Company, effective as of January 7, 2026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Pursuant to that certain Agreement and Plan of Merger, dated as of February 16, 2026, by and among the Company and the Member, among others, the Member was admitted as the sole member of the Company and the other members of the Company immediately prior to such closing ceased to be members of the Company, and the Company was continued without dissolution in accordance with the terms of the Delaware Limited Liability Company Act (6 Del.C. § 18-101, et seq.) (the “</w:t>
      </w:r>
      <w:r>
        <w:rPr>
          <w:rFonts w:ascii="Times New Roman PS Std;serif" w:hAnsi="Times New Roman PS Std;serif"/>
          <w:b w:val="false"/>
          <w:i w:val="false"/>
          <w:caps w:val="false"/>
          <w:smallCaps w:val="false"/>
          <w:sz w:val="20"/>
          <w:u w:val="single"/>
        </w:rPr>
        <w:t>Act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Member hereby agrees to amend and restate the Original Agreement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Name; Formation</w:t>
      </w:r>
      <w:r>
        <w:rPr>
          <w:rFonts w:ascii="Times New Roman PS Std;serif" w:hAnsi="Times New Roman PS Std;serif"/>
          <w:b w:val="false"/>
          <w:i w:val="false"/>
          <w:caps w:val="false"/>
          <w:smallCaps w:val="false"/>
          <w:sz w:val="20"/>
        </w:rPr>
        <w:t>. The name of the Company shall be Tenax Aerospace Acquisition, LLC, or such other name as the Member may from time to time hereafter designate through filing an appropriate name amendment with the Secretary of State of the State of Delaware. The Company was originally formed as a Delaware limited liability company on August 25, 2017, by the filing of a Certificate of Formation (the “</w:t>
      </w:r>
      <w:r>
        <w:rPr>
          <w:rFonts w:ascii="Times New Roman PS Std;serif" w:hAnsi="Times New Roman PS Std;serif"/>
          <w:b w:val="false"/>
          <w:i w:val="false"/>
          <w:caps w:val="false"/>
          <w:smallCaps w:val="false"/>
          <w:sz w:val="20"/>
          <w:u w:val="single"/>
        </w:rPr>
        <w:t>Certificate</w:t>
      </w:r>
      <w:r>
        <w:rPr>
          <w:caps w:val="false"/>
          <w:smallCaps w:val="false"/>
        </w:rPr>
        <w:t>”</w:t>
      </w:r>
      <w:r>
        <w:rPr>
          <w:rFonts w:ascii="Times New Roman PS Std;serif" w:hAnsi="Times New Roman PS Std;serif"/>
          <w:b w:val="false"/>
          <w:i w:val="false"/>
          <w:caps w:val="false"/>
          <w:smallCaps w:val="false"/>
          <w:sz w:val="20"/>
        </w:rPr>
        <w:t>) with the Secretary of State of the State of Delaware pursuant to the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Purpose</w:t>
      </w:r>
      <w:r>
        <w:rPr>
          <w:rFonts w:ascii="Times New Roman PS Std;serif" w:hAnsi="Times New Roman PS Std;serif"/>
          <w:b w:val="false"/>
          <w:i w:val="false"/>
          <w:caps w:val="false"/>
          <w:smallCaps w:val="false"/>
          <w:sz w:val="20"/>
        </w:rPr>
        <w:t>. The purpose of the Company shall be to engage in any lawful business that may be engaged in by a limited liability company organized under the Act, as such business activities may be determined by the Member from time to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Registered Agent and Office</w:t>
      </w:r>
      <w:r>
        <w:rPr>
          <w:rFonts w:ascii="Times New Roman PS Std;serif" w:hAnsi="Times New Roman PS Std;serif"/>
          <w:b w:val="false"/>
          <w:i w:val="false"/>
          <w:caps w:val="false"/>
          <w:smallCaps w:val="false"/>
          <w:sz w:val="20"/>
        </w:rPr>
        <w:t>. The registered agent for service of process is, and the mailing address for the registered office of the Company in the State of Delaware is in care of: Corporation Trust Center, 1209 Orange Street, in the City of Wilmington, County of New Castle, Delaware 19801. Such agent and such office may be changed from time to time by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val="false"/>
          <w:caps w:val="false"/>
          <w:smallCaps w:val="false"/>
          <w:sz w:val="20"/>
          <w:u w:val="single"/>
        </w:rPr>
        <w:t>Term</w:t>
      </w:r>
      <w:r>
        <w:rPr>
          <w:rFonts w:ascii="Times New Roman PS Std;serif" w:hAnsi="Times New Roman PS Std;serif"/>
          <w:b w:val="false"/>
          <w:i w:val="false"/>
          <w:caps w:val="false"/>
          <w:smallCaps w:val="false"/>
          <w:sz w:val="20"/>
        </w:rPr>
        <w:t xml:space="preserve">. The term of the Company shall continue perpetually unless the Company is dissolved pursuant to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5. </w:t>
      </w:r>
      <w:r>
        <w:rPr>
          <w:rFonts w:ascii="Times New Roman PS Std;serif" w:hAnsi="Times New Roman PS Std;serif"/>
          <w:b w:val="false"/>
          <w:i w:val="false"/>
          <w:caps w:val="false"/>
          <w:smallCaps w:val="false"/>
          <w:sz w:val="20"/>
          <w:u w:val="single"/>
        </w:rPr>
        <w:t>Member</w:t>
      </w:r>
      <w:r>
        <w:rPr>
          <w:rFonts w:ascii="Times New Roman PS Std;serif" w:hAnsi="Times New Roman PS Std;serif"/>
          <w:b w:val="false"/>
          <w:i w:val="false"/>
          <w:caps w:val="false"/>
          <w:smallCaps w:val="false"/>
          <w:sz w:val="20"/>
        </w:rPr>
        <w:t xml:space="preserve">. The Member shall own all limited liability company interests in the Company and shall be the sole member of the Company. The business address of the Member of the Company is set forth on </w:t>
      </w:r>
      <w:r>
        <w:rPr>
          <w:rFonts w:ascii="Times New Roman PS Std;serif" w:hAnsi="Times New Roman PS Std;serif"/>
          <w:b w:val="false"/>
          <w:i w:val="false"/>
          <w:caps w:val="false"/>
          <w:smallCaps w:val="false"/>
          <w:sz w:val="20"/>
          <w:u w:val="single"/>
        </w:rPr>
        <w:t>Schedule I</w:t>
      </w:r>
      <w:r>
        <w:rPr>
          <w:caps w:val="false"/>
          <w:smallCaps w:val="false"/>
        </w:rPr>
        <w:t xml:space="preserve"> </w:t>
      </w:r>
      <w:r>
        <w:rPr>
          <w:rFonts w:ascii="Times New Roman PS Std;serif" w:hAnsi="Times New Roman PS Std;serif"/>
          <w:b w:val="false"/>
          <w:i w:val="false"/>
          <w:caps w:val="false"/>
          <w:smallCaps w:val="false"/>
          <w:sz w:val="20"/>
        </w:rPr>
        <w:t>attached hereto, as the same may be amended from time to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6. </w:t>
      </w:r>
      <w:r>
        <w:rPr>
          <w:rFonts w:ascii="Times New Roman PS Std;serif" w:hAnsi="Times New Roman PS Std;serif"/>
          <w:b w:val="false"/>
          <w:i w:val="false"/>
          <w:caps w:val="false"/>
          <w:smallCaps w:val="false"/>
          <w:sz w:val="20"/>
          <w:u w:val="single"/>
        </w:rPr>
        <w:t>Management of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be member-managed by the Member. The Member shall have the sole right to manage the business of the Company and shall have all powers and rights necessary, appropriate or advisable to effectuate and carry out the purposes and business of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Member may appoint a President, Chief Executive Officer, Chief Financial Officer, Senior Vice President, Vice Presidents, Secretary, Treasurer, Assistant Secretary and Assistant Treasurer (the persons appointed to such positions from time to time, the “</w:t>
      </w:r>
      <w:r>
        <w:rPr>
          <w:rFonts w:ascii="Times New Roman PS Std;serif" w:hAnsi="Times New Roman PS Std;serif"/>
          <w:b w:val="false"/>
          <w:i w:val="false"/>
          <w:caps w:val="false"/>
          <w:smallCaps w:val="false"/>
          <w:sz w:val="20"/>
          <w:u w:val="single"/>
        </w:rPr>
        <w:t>Officers</w:t>
      </w:r>
      <w:r>
        <w:rPr>
          <w:caps w:val="false"/>
          <w:smallCaps w:val="false"/>
        </w:rPr>
        <w:t>”</w:t>
      </w:r>
      <w:r>
        <w:rPr>
          <w:rFonts w:ascii="Times New Roman PS Std;serif" w:hAnsi="Times New Roman PS Std;serif"/>
          <w:b w:val="false"/>
          <w:i w:val="false"/>
          <w:caps w:val="false"/>
          <w:smallCaps w:val="false"/>
          <w:sz w:val="20"/>
        </w:rPr>
        <w:t>) and/or such other management personnel to such terms and to perform such functions as the Member shall determine in its discretion. The Member may appoint, employ or otherwise contract with such other persons or entities for the transaction of the business of the Company or the performance of services for or on behalf of the Company as it shall determine in its discretion. The Member may delegate to any such Officer, person or entity such authority to act on behalf of the Company as the Member may from time to time deem appropriate in its discretion.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When the taking of such action has been authorized by the Member, any Officer of the Company or any other person specifically authorized by the Member may execute any contract or other agreement or document on behalf of the Company and may execute and file on behalf of the Company with the Secretary of State of the State of Delaware any certificates of amendment to the Certificate, one or more restated certificates of formation and certificates of merger or consolidation and, upon the dissolution and completion of winding up of the Company or as otherwise provided in the Act, a certificate of cancellation canceling the Certificate. All matters of the Company shall be determined by the Member. Any action required or permitted to be taken by the Member at a meeting may be taken without a meeting. The Member may adopt such other procedures governing meetings and the conduct of business as it shall deem appropriate.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7. </w:t>
      </w:r>
      <w:r>
        <w:rPr>
          <w:rFonts w:ascii="Times New Roman PS Std;serif" w:hAnsi="Times New Roman PS Std;serif"/>
          <w:b w:val="false"/>
          <w:i w:val="false"/>
          <w:caps w:val="false"/>
          <w:smallCaps w:val="false"/>
          <w:sz w:val="20"/>
          <w:u w:val="single"/>
        </w:rPr>
        <w:t>Distribution and Allocations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Distributions</w:t>
      </w:r>
      <w:r>
        <w:rPr>
          <w:rFonts w:ascii="Times New Roman PS Std;serif" w:hAnsi="Times New Roman PS Std;serif"/>
          <w:b w:val="false"/>
          <w:i w:val="false"/>
          <w:caps w:val="false"/>
          <w:smallCaps w:val="false"/>
          <w:sz w:val="20"/>
        </w:rPr>
        <w:t>. Distributions of cash or other assets of the Company shall be made at such times and in such amounts as the Member may determine. All distributions shall be made to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Allocations of Profits or Losses</w:t>
      </w:r>
      <w:r>
        <w:rPr>
          <w:rFonts w:ascii="Times New Roman PS Std;serif" w:hAnsi="Times New Roman PS Std;serif"/>
          <w:b w:val="false"/>
          <w:i w:val="false"/>
          <w:caps w:val="false"/>
          <w:smallCaps w:val="false"/>
          <w:sz w:val="20"/>
        </w:rPr>
        <w:t>. Except as may be required by the Internal Revenue Code of 1986, as amended, each item of income, gain, profit, loss, deduction or credit to the Company shall be allocated to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8. </w:t>
      </w:r>
      <w:r>
        <w:rPr>
          <w:rFonts w:ascii="Times New Roman PS Std;serif" w:hAnsi="Times New Roman PS Std;serif"/>
          <w:b w:val="false"/>
          <w:i w:val="false"/>
          <w:caps w:val="false"/>
          <w:smallCaps w:val="false"/>
          <w:sz w:val="20"/>
          <w:u w:val="single"/>
        </w:rPr>
        <w:t>Dissolution</w:t>
      </w:r>
      <w:r>
        <w:rPr>
          <w:rFonts w:ascii="Times New Roman PS Std;serif" w:hAnsi="Times New Roman PS Std;serif"/>
          <w:b w:val="false"/>
          <w:i w:val="false"/>
          <w:caps w:val="false"/>
          <w:smallCaps w:val="false"/>
          <w:sz w:val="20"/>
        </w:rPr>
        <w:t xml:space="preserve">. The Company shall be dissolved and its affairs wound up and terminated upon the </w:t>
      </w:r>
      <w:r>
        <w:rPr>
          <w:rFonts w:ascii="Times New Roman PS Std;serif" w:hAnsi="Times New Roman PS Std;serif"/>
          <w:b w:val="false"/>
          <w:i w:val="false"/>
          <w:caps w:val="false"/>
          <w:smallCaps w:val="false"/>
          <w:sz w:val="20"/>
          <w:u w:val="single"/>
        </w:rPr>
        <w:t>first to occur</w:t>
      </w:r>
      <w:r>
        <w:rPr>
          <w:caps w:val="false"/>
          <w:smallCaps w:val="false"/>
        </w:rPr>
        <w:t xml:space="preserve"> </w:t>
      </w:r>
      <w:r>
        <w:rPr>
          <w:rFonts w:ascii="Times New Roman PS Std;serif" w:hAnsi="Times New Roman PS Std;serif"/>
          <w:b w:val="false"/>
          <w:i w:val="false"/>
          <w:caps w:val="false"/>
          <w:smallCaps w:val="false"/>
          <w:sz w:val="20"/>
        </w:rPr>
        <w:t>of the following: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determination of the Member to dissolve the Company;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occurrence of any event causing a dissolution of the Company under the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9. </w:t>
      </w:r>
      <w:r>
        <w:rPr>
          <w:rFonts w:ascii="Times New Roman PS Std;serif" w:hAnsi="Times New Roman PS Std;serif"/>
          <w:b w:val="false"/>
          <w:i w:val="false"/>
          <w:caps w:val="false"/>
          <w:smallCaps w:val="false"/>
          <w:sz w:val="20"/>
          <w:u w:val="single"/>
        </w:rPr>
        <w:t>Limitation on Liability</w:t>
      </w:r>
      <w:r>
        <w:rPr>
          <w:rFonts w:ascii="Times New Roman PS Std;serif" w:hAnsi="Times New Roman PS Std;serif"/>
          <w:b w:val="false"/>
          <w:i w:val="false"/>
          <w:caps w:val="false"/>
          <w:smallCaps w:val="false"/>
          <w:sz w:val="20"/>
        </w:rPr>
        <w:t>. The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the Member. The failure of a limited liability company to observe any formalities or requirements relating to the exercise of its powers or management of its business or affairs under this Agreement or the Act shall not be grounds for imposing personal liability on the Member for liabilities of the limited liability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10. </w:t>
      </w:r>
      <w:r>
        <w:rPr>
          <w:rFonts w:ascii="Times New Roman PS Std;serif" w:hAnsi="Times New Roman PS Std;serif"/>
          <w:b w:val="false"/>
          <w:i w:val="false"/>
          <w:caps w:val="false"/>
          <w:smallCaps w:val="false"/>
          <w:sz w:val="20"/>
          <w:u w:val="single"/>
        </w:rPr>
        <w:t>Corporate Opportunities</w:t>
      </w:r>
      <w:r>
        <w:rPr>
          <w:rFonts w:ascii="Times New Roman PS Std;serif" w:hAnsi="Times New Roman PS Std;serif"/>
          <w:b w:val="false"/>
          <w:i w:val="false"/>
          <w:caps w:val="false"/>
          <w:smallCaps w:val="false"/>
          <w:sz w:val="20"/>
        </w:rPr>
        <w:t xml:space="preserve">. The Company waives any and all requirements that the Member bring all investment or business opportunities to the Company of which the Member becomes aware and which are competitive with the business. The Company and the Member agree that the Member may pursue or consummate (directly or indirectly) any such opportunities. This </w:t>
      </w:r>
      <w:r>
        <w:rPr>
          <w:rFonts w:ascii="Times New Roman PS Std;serif" w:hAnsi="Times New Roman PS Std;serif"/>
          <w:b w:val="false"/>
          <w:i w:val="false"/>
          <w:caps w:val="false"/>
          <w:smallCaps w:val="false"/>
          <w:sz w:val="20"/>
          <w:u w:val="single"/>
        </w:rPr>
        <w:t>Section 10</w:t>
      </w:r>
      <w:r>
        <w:rPr>
          <w:caps w:val="false"/>
          <w:smallCaps w:val="false"/>
        </w:rPr>
        <w:t xml:space="preserve"> </w:t>
      </w:r>
      <w:r>
        <w:rPr>
          <w:rFonts w:ascii="Times New Roman PS Std;serif" w:hAnsi="Times New Roman PS Std;serif"/>
          <w:b w:val="false"/>
          <w:i w:val="false"/>
          <w:caps w:val="false"/>
          <w:smallCaps w:val="false"/>
          <w:sz w:val="20"/>
        </w:rPr>
        <w:t>shall not in any way affect, limit or modify any liabilities, obligations, duties or responsibilities of any person or entity under any employment agreement, consulting agreement, confidentiality agreement, noncompete agreement, nonsolicit agreement or any similar agreement with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Limitation of Duties; Conflict of Interest</w:t>
      </w:r>
      <w:r>
        <w:rPr>
          <w:rFonts w:ascii="Times New Roman PS Std;serif" w:hAnsi="Times New Roman PS Std;serif"/>
          <w:b w:val="false"/>
          <w:i w:val="false"/>
          <w:caps w:val="false"/>
          <w:smallCaps w:val="false"/>
          <w:sz w:val="20"/>
        </w:rPr>
        <w:t xml:space="preserve">. Notwithstanding anything in this Agreement to the contrary, the Member shall not have any duty (including fiduciary duty), or any liability for a breach of duty (including fiduciary duty), to the Company;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limit or eliminate liability for any act or omission that constitutes a bad faith violation of any applicable implied contractual covenant of good faith and fair dealing.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Indemnification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General Rule</w:t>
      </w:r>
      <w:r>
        <w:rPr>
          <w:rFonts w:ascii="Times New Roman PS Std;serif" w:hAnsi="Times New Roman PS Std;serif"/>
          <w:b w:val="false"/>
          <w:i w:val="false"/>
          <w:caps w:val="false"/>
          <w:smallCaps w:val="false"/>
          <w:sz w:val="20"/>
        </w:rPr>
        <w:t xml:space="preserve">. To the fullest extent permitted by law, the Company shall indemnify an “indemnified representative” (as defined below) against any liability incurred in connection with any proceeding in which the indemnified representative may be involved as a party or otherwise by reason of the fact that such person is or was serving in an “indemnified capacity” (as defined below), including liabilities resulting from any actual or alleged breach or neglect of duty, error, misstatement or misleading statement or act giving rise to strict products liability;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any indemnity under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 xml:space="preserve">shall be provided out of and to the extent of the Company’s assets only, and the Member shall not have any personal liability on account thereof; </w:t>
      </w:r>
      <w:r>
        <w:rPr>
          <w:rFonts w:ascii="Times New Roman PS Std;serif" w:hAnsi="Times New Roman PS Std;serif"/>
          <w:b w:val="false"/>
          <w:i w:val="false"/>
          <w:caps w:val="false"/>
          <w:smallCaps w:val="false"/>
          <w:sz w:val="20"/>
          <w:u w:val="single"/>
        </w:rPr>
        <w:t>provided further</w:t>
      </w:r>
      <w:r>
        <w:rPr>
          <w:caps w:val="false"/>
          <w:smallCaps w:val="false"/>
        </w:rPr>
        <w:t xml:space="preserve"> </w:t>
      </w:r>
      <w:r>
        <w:rPr>
          <w:rFonts w:ascii="Times New Roman PS Std;serif" w:hAnsi="Times New Roman PS Std;serif"/>
          <w:b w:val="false"/>
          <w:i w:val="false"/>
          <w:caps w:val="false"/>
          <w:smallCaps w:val="false"/>
          <w:sz w:val="20"/>
        </w:rPr>
        <w:t xml:space="preserve">that no indemnity shall be payable hereunder against any liability incurred by such indemnified representative by reason of any action or omission that constitutes fraud, willful misconduct or gross negligence or for which a corporation, incorporated under the General Corporations Law of the State of Delaware, would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not be permitted under applicable law to indemnify. If an indemnified representative is entitled to indemnification in respect of a portion, but not all, of any liabilities to which such indemnified representative may be subject, the Company shall indemnify such indemnified representative to the maximum extent legally permissible for such liabilities. The termination of a proceeding by judgment, order, settlement or conviction or upon a plea of nolo contendere or its equivalent shall not of itself create a presumption that the indemnified representative is not entitled to indemnification under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xml:space="preserve">. For purposes of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indemnified capacity</w:t>
      </w:r>
      <w:r>
        <w:rPr>
          <w:caps w:val="false"/>
          <w:smallCaps w:val="false"/>
        </w:rPr>
        <w:t xml:space="preserve">” </w:t>
      </w:r>
      <w:r>
        <w:rPr>
          <w:rFonts w:ascii="Times New Roman PS Std;serif" w:hAnsi="Times New Roman PS Std;serif"/>
          <w:b w:val="false"/>
          <w:i w:val="false"/>
          <w:caps w:val="false"/>
          <w:smallCaps w:val="false"/>
          <w:sz w:val="20"/>
        </w:rPr>
        <w:t>means any and all past, present and future actions or inactions by an indemnified representative in one or more capacities as a member, manager, director, observer, officer or agent of the Company, or, at the request of the Company, as a member, manager, director, officer, employee, agent, fiduciary or trustee of another limited liability company, corporation, partnership, joint venture, trust, employee benefit plan or other entity or enterprise;</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indemnified representative</w:t>
      </w:r>
      <w:r>
        <w:rPr>
          <w:caps w:val="false"/>
          <w:smallCaps w:val="false"/>
        </w:rPr>
        <w:t xml:space="preserve">” </w:t>
      </w:r>
      <w:r>
        <w:rPr>
          <w:rFonts w:ascii="Times New Roman PS Std;serif" w:hAnsi="Times New Roman PS Std;serif"/>
          <w:b w:val="false"/>
          <w:i w:val="false"/>
          <w:caps w:val="false"/>
          <w:smallCaps w:val="false"/>
          <w:sz w:val="20"/>
        </w:rPr>
        <w:t>means the Member, any and all other members (and any and all officers, directors and employees of the Member or such other members), managers and officers of the Company, and any other person designated as an indemnified representative by a member (which may, but need not, include any person serving, at the request of the Company, as a member, manager, officer, employee, agent, fiduciary or trustee of another limited liability company, corporation, partnership, joint venture, trust, employee benefit plan or other entity or enterprise)</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liability</w:t>
      </w:r>
      <w:r>
        <w:rPr>
          <w:caps w:val="false"/>
          <w:smallCaps w:val="false"/>
        </w:rPr>
        <w:t xml:space="preserve">” </w:t>
      </w:r>
      <w:r>
        <w:rPr>
          <w:rFonts w:ascii="Times New Roman PS Std;serif" w:hAnsi="Times New Roman PS Std;serif"/>
          <w:b w:val="false"/>
          <w:i w:val="false"/>
          <w:caps w:val="false"/>
          <w:smallCaps w:val="false"/>
          <w:sz w:val="20"/>
        </w:rPr>
        <w:t>means any damage, judgment, amount paid in settlement, fine, penalty, punitive damages, excise tax assessed with respect to any employee benefit plan or cost or expense of any nature (including attorneys’ fees and disbursements)</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iv.          “</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any threatened, pending or completed action, suit, appeal or other proceeding of any nature, whether civil, criminal, administrative or investigative, whether formal or informal, and whether brought by or in the right of the Company, the Member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Advancing Expenses</w:t>
      </w:r>
      <w:r>
        <w:rPr>
          <w:rFonts w:ascii="Times New Roman PS Std;serif" w:hAnsi="Times New Roman PS Std;serif"/>
          <w:b w:val="false"/>
          <w:i w:val="false"/>
          <w:caps w:val="false"/>
          <w:smallCaps w:val="false"/>
          <w:sz w:val="20"/>
        </w:rPr>
        <w:t xml:space="preserve">. To the fullest extent permitted by law, the Company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the Company pursuant to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Securing of Indemnification Obligations</w:t>
      </w:r>
      <w:r>
        <w:rPr>
          <w:rFonts w:ascii="Times New Roman PS Std;serif" w:hAnsi="Times New Roman PS Std;serif"/>
          <w:b w:val="false"/>
          <w:i w:val="false"/>
          <w:caps w:val="false"/>
          <w:smallCaps w:val="false"/>
          <w:sz w:val="20"/>
        </w:rPr>
        <w:t xml:space="preserve">. To further effect, satisfy or secure the indemnification obligations provided in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or otherwise, the Company may maintain insurance, obtain a letter of credit, act as self-insurer, create a reserve, trust, escrow, cash collateral or other fund or account, enter into indemnification agreements, pledge or grant a security interest in any assets or properties of the Company or use any other mechanism or arrangement whatsoever in such amounts, at such costs and upon such other terms and conditions as the Member shall deem appropriate.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Scope of Section</w:t>
      </w:r>
      <w:r>
        <w:rPr>
          <w:rFonts w:ascii="Times New Roman PS Std;serif" w:hAnsi="Times New Roman PS Std;serif"/>
          <w:b w:val="false"/>
          <w:i w:val="false"/>
          <w:caps w:val="false"/>
          <w:smallCaps w:val="false"/>
          <w:sz w:val="20"/>
        </w:rPr>
        <w:t xml:space="preserve">. The rights granted by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 xml:space="preserve">shall not be deemed exclusive of any other rights to which those seeking indemnification, contribution or advancement of expenses may be entitled under any statute, agreement, by approval of the Member or otherwise, both as to action in an indemnified capacity and as to action in any other capacity. The indemnification, contribution and advancement of expenses provided by or granted pursuant to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shall continue as to a person who has ceased to be an indemnified representative in respect of matters arising prior to such time, and shall inure to the benefit of the successors, heirs, executors, administrators and personal representatives of such a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Amendments</w:t>
      </w:r>
      <w:r>
        <w:rPr>
          <w:rFonts w:ascii="Times New Roman PS Std;serif" w:hAnsi="Times New Roman PS Std;serif"/>
          <w:b w:val="false"/>
          <w:i w:val="false"/>
          <w:caps w:val="false"/>
          <w:smallCaps w:val="false"/>
          <w:sz w:val="20"/>
        </w:rPr>
        <w:t>. This Agreement may be amended only upon the written consent of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This Agreement shall be governed by and construed in accordance with the domestic laws of the State of Delaware without giving effect to any choice of law or conflict of law provision or rule (whether the State of Delaware or any other jurisdiction) that would cause the application of the laws of any jurisdiction other than the State of Delaware.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val="false"/>
          <w:caps w:val="false"/>
          <w:smallCaps w:val="false"/>
          <w:sz w:val="20"/>
          <w:u w:val="single"/>
        </w:rPr>
        <w:t>Singular; Plural; Gender</w:t>
      </w:r>
      <w:r>
        <w:rPr>
          <w:rFonts w:ascii="Times New Roman PS Std;serif" w:hAnsi="Times New Roman PS Std;serif"/>
          <w:b w:val="false"/>
          <w:i w:val="false"/>
          <w:caps w:val="false"/>
          <w:smallCaps w:val="false"/>
          <w:sz w:val="20"/>
        </w:rPr>
        <w:t>. Wherever from the context it appears appropriate, each term stated in either the singular or the plural shall include the singular and the plural, and pronouns stated in either the masculine, the feminine or the neuter gender shall include the masculine, feminine and neuter.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16. 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embodies the complete agreement and understanding among the parties hereto and supersedes and preempts any prior understandings, agreements or representations by or among the parties hereto, written or oral, which may have related to the subject matter hereof in any way.</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Follows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duly executed this Agreement as of the date first written above.</w:t>
      </w:r>
    </w:p>
    <w:tbl>
      <w:tblPr>
        <w:tblW w:w="2797" w:type="dxa"/>
        <w:jc w:val="left"/>
        <w:tblInd w:w="0" w:type="dxa"/>
        <w:tblLayout w:type="fixed"/>
        <w:tblCellMar>
          <w:top w:w="0" w:type="dxa"/>
          <w:left w:w="0" w:type="dxa"/>
          <w:bottom w:w="0" w:type="dxa"/>
          <w:right w:w="0" w:type="dxa"/>
        </w:tblCellMar>
      </w:tblPr>
      <w:tblGrid>
        <w:gridCol w:w="161"/>
        <w:gridCol w:w="146"/>
        <w:gridCol w:w="1674"/>
        <w:gridCol w:w="352"/>
        <w:gridCol w:w="464"/>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490"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52" w:type="dxa"/>
            <w:tcBorders/>
          </w:tcPr>
          <w:p>
            <w:pPr>
              <w:pStyle w:val="TableContents"/>
              <w:bidi w:val="0"/>
              <w:spacing w:before="0" w:after="283"/>
              <w:jc w:val="left"/>
              <w:rPr/>
            </w:pPr>
            <w:r>
              <w:rPr/>
              <w:t> </w:t>
            </w:r>
          </w:p>
        </w:tc>
        <w:tc>
          <w:tcPr>
            <w:tcW w:w="464"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52" w:type="dxa"/>
            <w:tcBorders/>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52" w:type="dxa"/>
            <w:tcBorders/>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LLC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I</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Air Industries Group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1460 Fifth Avenue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Bay Shore, New York 11706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bookmarkStart w:id="119" w:name="T5204"/>
      <w:bookmarkEnd w:id="119"/>
      <w:r>
        <w:rPr>
          <w:rFonts w:ascii="Times New Roman PS Std;serif" w:hAnsi="Times New Roman PS Std;serif"/>
          <w:b/>
          <w:i w:val="false"/>
          <w:caps w:val="false"/>
          <w:smallCaps w:val="false"/>
          <w:sz w:val="20"/>
        </w:rPr>
        <w:t xml:space="preserve">EXHIBIT E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AIR Charter Amendment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AMENDMENTS TO THE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ARTICLES OF INCORPORATION 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first paragraph of Article 3 of the Articles of Incorporation is hereby amended to read in its entirety as follows:</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Corporation shall be authorized to issue 203,000,000 shares of capital stock, of which 200,000,000 shares shall be shares of common stock, $0.001 par value per share (“Common Stock”), and 3,000,000 shares shall be shares of preferred stock, $0.001 par value per share (“Preferred Stock”).”</w:t>
      </w:r>
    </w:p>
    <w:p>
      <w:pPr>
        <w:pStyle w:val="TextBody"/>
        <w:widowControl/>
        <w:pBdr/>
        <w:bidi w:val="0"/>
        <w:spacing w:before="160" w:after="283"/>
        <w:ind w:left="3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and to the extent set forth above, the other provisions of Article 3 are unchanged.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new Article 14 is hereby added after Article 13 of the Articles of Incorporation, which new Article 14 shall read in its entirety as follows:</w:t>
      </w:r>
    </w:p>
    <w:p>
      <w:pPr>
        <w:pStyle w:val="TextBody"/>
        <w:widowControl/>
        <w:pBdr/>
        <w:bidi w:val="0"/>
        <w:spacing w:before="160" w:after="283"/>
        <w:ind w:left="1080" w:right="0" w:hanging="0"/>
        <w:jc w:val="left"/>
        <w:rPr/>
      </w:pPr>
      <w:r>
        <w:rPr>
          <w:caps w:val="false"/>
          <w:smallCaps w:val="false"/>
        </w:rPr>
        <w:t>“</w:t>
      </w:r>
      <w:r>
        <w:rPr>
          <w:rFonts w:ascii="Times New Roman PS Std;serif" w:hAnsi="Times New Roman PS Std;serif"/>
          <w:b/>
          <w:i w:val="false"/>
          <w:caps w:val="false"/>
          <w:smallCaps w:val="false"/>
          <w:sz w:val="20"/>
        </w:rPr>
        <w:t>14. Action by Written Consent of the Stockholders:</w:t>
      </w:r>
    </w:p>
    <w:p>
      <w:pPr>
        <w:pStyle w:val="TextBody"/>
        <w:widowControl/>
        <w:pBdr/>
        <w:bidi w:val="0"/>
        <w:spacing w:before="160" w:after="283"/>
        <w:ind w:left="10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series of Preferred Stock:</w:t>
      </w:r>
    </w:p>
    <w:p>
      <w:pPr>
        <w:pStyle w:val="TextBody"/>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at any time while Majority Ownership (as defined below) exists, any action required or permitted to be taken by the stockholders of the Corporation at any special or annual meeting of stockholders may be taken (without a meeting and without notice or a vote) if, before or after the action, written consent to such action is signed by stockholders holding at least such voting power as would be necessary to authorize or take such action at a meeting at which all shares of stock entitled to vote on such action were present and voted; and</w:t>
      </w:r>
    </w:p>
    <w:p>
      <w:pPr>
        <w:pStyle w:val="TextBody"/>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         at any time while Majority Ownership does not exist, any action required or permitted to be taken by the stockholders of the Corporation may be effected only at a duly called annual or special meeting of stockholders and may not be taken by written consent.</w:t>
      </w:r>
    </w:p>
    <w:p>
      <w:pPr>
        <w:pStyle w:val="TextBody"/>
        <w:widowControl/>
        <w:pBdr/>
        <w:bidi w:val="0"/>
        <w:spacing w:before="160" w:after="283"/>
        <w:ind w:left="10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Article 14:</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 (including with correlative meanings, “controlled by” and “under common control with”) means, with respect to any Person, the possession, directly or indirectly, of the power to direct or cause the direction of the management or policies of such Person, whether through the ability to exercise voting power, by contract or otherwise. Without limiting the generality of the foregoing, a Person shall be deemed to be controlled by another Person if such other Person possesses, directly or indirectly, power (a) to vote 50% or more of the securities having ordinary voting power for the election of directors, managers, managing general partners or the equivalent, or (b) to direct or cause direction of the management and policies of such Person, whether through ownership of voting securities or by contract or otherwise.</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Controlled Affiliates” means (x) as to Thomas Foley or Taran Bakker, (i) any trust primarily for the benefit of such Person’s spouse and/or lineal descendants (each, a “Family Trust”), (ii) any Person that is a subsidiary of a Family Trust or (iii) such Person’s estate; and (y) as to any Person, any other Person that directly or indirectly is in control of, is controlled by or is under common control with such Person.</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Majority Ownership” means that The NTC Group, Inc., Thomas Foley and Taran Bakker and their respective Controlled Affiliates, collectively, beneficially own at least a majority of the voting power of the issued and outstanding shares of Common Stock.</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Person” means and includes any natural person, corporation, limited partnership, general partnership, limited liability company, limited liability partnership, joint stock company, joint venture, association, company, trust, bank, trust company, land trust, business trust or other organization, whether or not a legal entity.”</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F</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Redemption Rights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G</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Registration Rights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0" w:name="T1898"/>
      <w:bookmarkEnd w:id="120"/>
      <w:r>
        <w:rPr>
          <w:rFonts w:ascii="Times New Roman PS Std;serif" w:hAnsi="Times New Roman PS Std;serif"/>
          <w:b/>
          <w:i w:val="false"/>
          <w:caps w:val="false"/>
          <w:smallCaps w:val="false"/>
          <w:sz w:val="20"/>
        </w:rPr>
        <w:t xml:space="preserve">Annex B </w:t>
      </w:r>
    </w:p>
    <w:p>
      <w:pPr>
        <w:pStyle w:val="TextBody"/>
        <w:widowControl/>
        <w:pBdr/>
        <w:bidi w:val="0"/>
        <w:spacing w:before="160" w:after="283"/>
        <w:jc w:val="right"/>
        <w:rPr>
          <w:caps w:val="false"/>
          <w:smallCaps w:val="false"/>
        </w:rPr>
      </w:pPr>
      <w:r>
        <w:rPr>
          <w:caps w:val="false"/>
          <w:smallCaps w:val="false"/>
        </w:rPr>
        <w:drawing>
          <wp:inline distT="0" distB="0" distL="0" distR="0">
            <wp:extent cx="2076450" cy="3594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76450" cy="359410"/>
                    </a:xfrm>
                    <a:prstGeom prst="rect">
                      <a:avLst/>
                    </a:prstGeom>
                  </pic:spPr>
                </pic:pic>
              </a:graphicData>
            </a:graphic>
          </wp:inline>
        </w:drawing>
      </w:r>
    </w:p>
    <w:tbl>
      <w:tblPr>
        <w:tblW w:w="3878" w:type="dxa"/>
        <w:jc w:val="left"/>
        <w:tblInd w:w="0" w:type="dxa"/>
        <w:tblLayout w:type="fixed"/>
        <w:tblCellMar>
          <w:top w:w="0" w:type="dxa"/>
          <w:left w:w="0" w:type="dxa"/>
          <w:bottom w:w="0" w:type="dxa"/>
          <w:right w:w="0" w:type="dxa"/>
        </w:tblCellMar>
      </w:tblPr>
      <w:tblGrid>
        <w:gridCol w:w="161"/>
        <w:gridCol w:w="146"/>
        <w:gridCol w:w="357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 Capital One Drive, Suite 1200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McLean, VA 22102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703.442.1400  F  703.442.1498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www.kippsdesanto.com</w:t>
            </w:r>
          </w:p>
        </w:tc>
      </w:tr>
    </w:tbl>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17,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Air Industries Group</w:t>
        <w:br/>
        <w:t>1460 Fifth Avenue</w:t>
        <w:br/>
        <w:t>Bay Shore, NY 11706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Ladies and Gentlemen: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understand that Air Industries Group (the “Company”), proposes to enter into an Agreement and Plan of Merger, dated as of February 16, 2026 (the “Agreement”), with Tenax Aerospace Acquisition, LLC (“Tenax”) and Transitory Air Sub LLC, a wholly owned subsidiary of the Company (the “Merger Sub”). Pursuant to the Agreement, the Merger Sub will merge with and into Tenax, with Tenax being the surviving corporation as a wholly owned subsidiary of the Company (the “Merger”). As a result of the Merger, the membership units of Tenax will be converted into the right to receive 94,400,000 shares of common stock, par value $0.001 per share, of the Company (“Company Common Stock”), subject to adjustments pursuant to Section 3.03 of the Agreement, as to which adjustments we express no opinion (the “Adjustment Qualification”). Following the closing of the Merger, the Company will commence a cash tender offer (the “Tender Offer”) to acquire up to 1,000,000 shares of Company Common Stock at $4.10 per share, subject to the Adjustment Qualification. In addition, pursuant to the Agreement, the Company and a rights agent mutually agreeable to the Company and Tenax will enter into a Redemption Rights Agreement (the “Redemption Rights Agreement”), reflecting the terms and conditions set forth on Exhibit G of the Agreement, pursuant to which the holders of Company Common Stock as of the business day prior to the closing of the Merger will be granted the right to cause the Company to redeem their shares of Company Common Stock for $4.18 per share in cash (subject to the Adjustment Qualification), payable during a specified period following the first anniversary of the closing of the Merger (such $4.18 price per share, the “Redemption Price”) if during the 20 trading days prior to the first anniversary of the closing of the Merger the volume weighted average price of the shares of Company Common Stock is lower than $4.18, subject to the Adjustment Qualification (the “Redemption” and together with the Merger, the Tender Offer and the other transactions contemplated by the Agreement, the “Transaction”). The terms and conditions of the Transaction are more fully set forth in the Agreement.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asked us whether, in our opinion, the Redemption Price is fair, from a financial point of view, to the holders of the Company Common Stock.</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our opinion, we have, among other things: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reviewed certain publicly available business and financial information relating to the Company that we deemed to be relevant, including publicly available research analysts’ estimates;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reviewed certain internal projected financial data relating to the Company prepared and furnished to us by management of the Company, each as approved for our use by the Company (the “</w:t>
      </w:r>
      <w:r>
        <w:rPr>
          <w:rFonts w:ascii="Times New Roman PS Std;serif" w:hAnsi="Times New Roman PS Std;serif"/>
          <w:b w:val="false"/>
          <w:i w:val="false"/>
          <w:caps w:val="false"/>
          <w:smallCaps w:val="false"/>
          <w:sz w:val="20"/>
          <w:u w:val="single"/>
        </w:rPr>
        <w:t>Forecasts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discussed with management of the Company their assessment of the past and current operations of the Company, the current financial condition and prospects of the Company, and the Forecasts;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reviewed the reported prices and the historical trading activity of the Company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2</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compared the financial performance of the Company and its stock market trading multiples with those of certain other publicly traded companies that we deemed relevant;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compared the financial performance of the Company and the valuation multiples relating to the Redemption Price with the financial terms, to the extent publicly available, of certain other transactions that we deemed relevant;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reviewed the financial terms and conditions of a draft, dated as of February 16, 2026, of the Agreement, including Exhibit G;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performed such other analyses and examinations and considered such other factors that we deemed appropriate.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the Company as to the future financial performance of the Company and the other matters covered thereby. We express no view as to the Forecasts or the assumptions on which they are based.</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in all respects material to our analysis, that the final executed Agreement will not differ from the draft Agreement reviewed by us, that the final executed Redemption Rights Agreement will not differ from the draft terms and conditions set forth on Exhibit G of the Agreement reviewed by us, that the representations and warranties of each party contained in the Agreement are true and correct, that each party will perform all of the covenants and agreements required to be performed by it under the Agreement and Redemption Rights Agreement and that all conditions to the consummation of the Transaction, including the Redemption, will be satisfied without waiver or modification thereof. We have further assumed, in all respects material to our analysis, that all governmental, regulatory or other consents, approvals or releases necessary for the consummation of the Transaction, including the Redemption, will be obtained without any delay, limitation, restriction or condition that would have an adverse effect on the Company or the consummation of the Transaction, including the Redemption, or reduce the contemplated benefits of the Transaction, including the Redemption, to the holders of the Company Common Stock.</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asked to pass upon, and express no opinion with respect to, any matter other than the fairness to the holders of the Company Common Stock, from a financial point of view, of the Redemption Price. We do not express any view on, and our opinion does not address, the fairness of the proposed transaction to, or any consideration received in connection therewith by, the holders of any other class of securities, creditors or other constituencies of the Company, the fairness of the consideration to be paid or payable by the Company to the holders of membership units of Tenax or to be paid or payable by the Company in the Tender Offer, nor the fairness of the amount or nature of any compensation to be paid or payable to any of the officers, directors or employees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3</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Company, or any class of such persons, whether relative to the Redemption Price or otherwise. We have not been asked to, nor do we express any view on, and our opinion does not address, any other term or aspect of the Agreement or the Redemption Rights Agreement or the Transaction, including, without limitation, the structure or form of the Transaction, or any term or aspect of any other agreement or instrument contemplated by the Agreement or the Redemption Rights Agreement or entered into or amended in connection with the Agreement or the Redemption Rights Agreement. Our opinion does not address the relative merits of the Transaction, including the Redemption, as compared to other business or financial strategies that might be available to the Company, nor does it address the underlying business decision of the Company to engage in the Transaction, including the Redemption. Our opinion does not constitute a recommendation to the Board of Directors or to any other persons in respect of the Transaction, including the Redemption, including as to how any holder of shares of the Company Common Stock should vote or act in respect of the Transaction, including the Redemption. We are not expressing any opinion as to the prices at which shares of Company Common Stock will trade at any time, as to the potential effects of volatility in the credit, financial and stock markets on the Company or the Transaction, including the Redemption, or as to the impact of the Transaction, including the Redemption,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the Company in connection with the Transaction and will receive a fee for our services, a portion of which is payable upon rendering this opinion and a substantial portion of which is contingent upon the consummation of the Transaction. The Company has also agreed to reimburse our expenses and to indemnify us against certain liabilities arising out of our engagement. During the two year period prior to the date hereof, KippsDeSanto &amp; Co. and its affiliates have not been engaged to provide financial advisory or other services to the Company and we have not received any compensation from the Company during such period. In addition, during the two year period prior to the date hereof, KippsDeSanto &amp; Co. and its affiliates have not been engaged to provide financial advisory or other services to Tenax and we have not received any compensation from Tenax during such period. We may provide financial advisory or other services to the Company and Tenax in the future, and in connection with any such services we may receive compensation.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KippsDeSanto &amp; Co.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KippsDeSanto &amp; Co.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Tenax, potential parties to the Transaction and/or any of their respective affiliates or persons that are competitors, customers or suppliers of the Company or Tenax.</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advisory services and this opinion are provided for the information and benefit of the Board of Directors (in its capacity as such) in connection with its evaluation of the proposed Merger. The issuance of this opinion has been approved by an Opinion Committee of KippsDeSanto &amp; Co.</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Redemption Price is fair, from a financial point of view, to the holders of the Company Common Stock.</w:t>
      </w:r>
    </w:p>
    <w:tbl>
      <w:tblPr>
        <w:tblW w:w="2835" w:type="dxa"/>
        <w:jc w:val="left"/>
        <w:tblInd w:w="0" w:type="dxa"/>
        <w:tblLayout w:type="fixed"/>
        <w:tblCellMar>
          <w:top w:w="0" w:type="dxa"/>
          <w:left w:w="0" w:type="dxa"/>
          <w:bottom w:w="0" w:type="dxa"/>
          <w:right w:w="0" w:type="dxa"/>
        </w:tblCellMar>
      </w:tblPr>
      <w:tblGrid>
        <w:gridCol w:w="161"/>
        <w:gridCol w:w="146"/>
        <w:gridCol w:w="421"/>
        <w:gridCol w:w="146"/>
        <w:gridCol w:w="196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8" w:type="dxa"/>
            <w:gridSpan w:val="3"/>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KippsDeSanto &amp; Co.</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28" w:type="dxa"/>
            <w:gridSpan w:val="3"/>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1162050" cy="222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62050" cy="2222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1" w:name="T2005"/>
      <w:bookmarkEnd w:id="121"/>
      <w:r>
        <w:rPr>
          <w:rFonts w:ascii="Times New Roman PS Std;serif" w:hAnsi="Times New Roman PS Std;serif"/>
          <w:b/>
          <w:i w:val="false"/>
          <w:caps w:val="false"/>
          <w:smallCaps w:val="false"/>
          <w:sz w:val="20"/>
        </w:rPr>
        <w:t xml:space="preserve">Annex C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 AGREEMENT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between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Broadridge Corporate Issuer Solutions, LLC</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Rights Agent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8980" w:type="dxa"/>
        <w:jc w:val="left"/>
        <w:tblInd w:w="0" w:type="dxa"/>
        <w:tblLayout w:type="fixed"/>
        <w:tblCellMar>
          <w:top w:w="0" w:type="dxa"/>
          <w:left w:w="0" w:type="dxa"/>
          <w:bottom w:w="0" w:type="dxa"/>
          <w:right w:w="0" w:type="dxa"/>
        </w:tblCellMar>
      </w:tblPr>
      <w:tblGrid>
        <w:gridCol w:w="1201"/>
        <w:gridCol w:w="146"/>
        <w:gridCol w:w="6256"/>
        <w:gridCol w:w="146"/>
        <w:gridCol w:w="1231"/>
      </w:tblGrid>
      <w:tr>
        <w:trPr/>
        <w:tc>
          <w:tcPr>
            <w:tcW w:w="12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C</w:t>
              <w:br/>
              <w:t>Page Nos.</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of Rights Agent.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the Rights.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Certificates.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Mutilated, Destroyed, Lost or Stolen Rights Certificates.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Cancellation and Destruction of Rights Certificates.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Price; Measurement Period.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C-5</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Compliance and Withholding.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Holders.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Action.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Occurrence of Certain Corporate Actions and Events.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Certain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Duties of Rights Agent.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15.</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Concerning the Rights Agent.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of Rights Agent.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17.</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or Consolidation or Change of Name of Rights Agent.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C-10</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Determination and Action by the Board.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C-10</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19.</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Supplements and Amendments.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C-11</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C-11</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Beneficiaries of this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Submission to Jurisdiction; Waiver of Jury Trial.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Descriptive Headings; Interpretation.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27.</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Force Majeure.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29.</w:t>
            </w:r>
          </w:p>
        </w:tc>
        <w:tc>
          <w:tcPr>
            <w:tcW w:w="146" w:type="dxa"/>
            <w:tcBorders/>
            <w:shd w:fill="CCEEFF" w:val="clear"/>
            <w:vAlign w:val="bottom"/>
          </w:tcPr>
          <w:p>
            <w:pPr>
              <w:pStyle w:val="TableContents"/>
              <w:bidi w:val="0"/>
              <w:spacing w:before="0" w:after="283"/>
              <w:jc w:val="left"/>
              <w:rPr/>
            </w:pPr>
            <w:r>
              <w:rPr/>
              <w:t> </w:t>
            </w:r>
          </w:p>
        </w:tc>
        <w:tc>
          <w:tcPr>
            <w:tcW w:w="6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Act Exemption.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bl>
    <w:tbl>
      <w:tblPr>
        <w:tblW w:w="5833" w:type="dxa"/>
        <w:jc w:val="left"/>
        <w:tblInd w:w="0" w:type="dxa"/>
        <w:tblLayout w:type="fixed"/>
        <w:tblCellMar>
          <w:top w:w="0" w:type="dxa"/>
          <w:left w:w="0" w:type="dxa"/>
          <w:bottom w:w="0" w:type="dxa"/>
          <w:right w:w="0" w:type="dxa"/>
        </w:tblCellMar>
      </w:tblPr>
      <w:tblGrid>
        <w:gridCol w:w="991"/>
        <w:gridCol w:w="146"/>
        <w:gridCol w:w="4696"/>
      </w:tblGrid>
      <w:tr>
        <w:trPr/>
        <w:tc>
          <w:tcPr>
            <w:tcW w:w="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Exhibits</w:t>
            </w:r>
          </w:p>
        </w:tc>
        <w:tc>
          <w:tcPr>
            <w:tcW w:w="146"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shd w:fill="CCEEFF" w:val="clear"/>
            <w:vAlign w:val="bottom"/>
          </w:tcPr>
          <w:p>
            <w:pPr>
              <w:pStyle w:val="TableContents"/>
              <w:bidi w:val="0"/>
              <w:spacing w:before="0" w:after="283"/>
              <w:jc w:val="left"/>
              <w:rPr/>
            </w:pPr>
            <w:r>
              <w:rPr/>
              <w:t> </w:t>
            </w:r>
          </w:p>
        </w:tc>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Summary of Rights to Redeem Common Stock</w:t>
            </w:r>
          </w:p>
        </w:tc>
      </w:tr>
      <w:tr>
        <w:trPr/>
        <w:tc>
          <w:tcPr>
            <w:tcW w:w="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Rights Certificate</w:t>
            </w:r>
          </w:p>
        </w:tc>
      </w:tr>
      <w:tr>
        <w:trPr/>
        <w:tc>
          <w:tcPr>
            <w:tcW w:w="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shd w:fill="CCEEFF" w:val="clear"/>
            <w:vAlign w:val="bottom"/>
          </w:tcPr>
          <w:p>
            <w:pPr>
              <w:pStyle w:val="TableContents"/>
              <w:bidi w:val="0"/>
              <w:spacing w:before="0" w:after="283"/>
              <w:jc w:val="left"/>
              <w:rPr/>
            </w:pPr>
            <w:r>
              <w:rPr/>
              <w:t> </w:t>
            </w:r>
          </w:p>
        </w:tc>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 of Redemption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i w:val="false"/>
          <w:caps w:val="false"/>
          <w:smallCaps w:val="false"/>
          <w:sz w:val="20"/>
        </w:rPr>
        <w:t>REDEMPTION RIGHTS AGREEMENT</w:t>
      </w:r>
      <w:r>
        <w:rPr>
          <w:rFonts w:ascii="Times New Roman PS Std;serif" w:hAnsi="Times New Roman PS Std;serif"/>
          <w:b w:val="false"/>
          <w:i w:val="false"/>
          <w:caps w:val="false"/>
          <w:smallCaps w:val="false"/>
          <w:sz w:val="20"/>
        </w:rPr>
        <w:t>, dated as of [*], 2026 (this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is by and between Air Industries Group, a Nevada corporation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and Broadridge Corporate Issuer Solutions, LLC, a Pennsylvania limited liability company, as rights agent (the “</w:t>
      </w:r>
      <w:r>
        <w:rPr>
          <w:rFonts w:ascii="Times New Roman PS Std;serif" w:hAnsi="Times New Roman PS Std;serif"/>
          <w:b/>
          <w:i/>
          <w:sz w:val="20"/>
        </w:rPr>
        <w:t>Rights Agent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 I T N E S S E T H:</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on July 2, 2026, the Company entered into an Amended and Restated Agreement and Plan of Merger (the “</w:t>
      </w:r>
      <w:r>
        <w:rPr>
          <w:rFonts w:ascii="Times New Roman PS Std;serif" w:hAnsi="Times New Roman PS Std;serif"/>
          <w:b/>
          <w:i/>
          <w:sz w:val="20"/>
        </w:rPr>
        <w:t>Merger Agreement</w:t>
      </w:r>
      <w:r>
        <w:rPr>
          <w:caps w:val="false"/>
          <w:smallCaps w:val="false"/>
        </w:rPr>
        <w:t>”</w:t>
      </w:r>
      <w:r>
        <w:rPr>
          <w:rFonts w:ascii="Times New Roman PS Std;serif" w:hAnsi="Times New Roman PS Std;serif"/>
          <w:b w:val="false"/>
          <w:i w:val="false"/>
          <w:caps w:val="false"/>
          <w:smallCaps w:val="false"/>
          <w:sz w:val="20"/>
        </w:rPr>
        <w:t>) with Tenax Aerospace Acquisition, LLC, a Delaware limited liability company (“</w:t>
      </w:r>
      <w:r>
        <w:rPr>
          <w:rFonts w:ascii="Times New Roman PS Std;serif" w:hAnsi="Times New Roman PS Std;serif"/>
          <w:b/>
          <w:i/>
          <w:sz w:val="20"/>
        </w:rPr>
        <w:t>Tenax</w:t>
      </w:r>
      <w:r>
        <w:rPr>
          <w:caps w:val="false"/>
          <w:smallCaps w:val="false"/>
        </w:rPr>
        <w:t>”</w:t>
      </w:r>
      <w:r>
        <w:rPr>
          <w:rFonts w:ascii="Times New Roman PS Std;serif" w:hAnsi="Times New Roman PS Std;serif"/>
          <w:b w:val="false"/>
          <w:i w:val="false"/>
          <w:caps w:val="false"/>
          <w:smallCaps w:val="false"/>
          <w:sz w:val="20"/>
        </w:rPr>
        <w:t>), and Transitory Air Sub LLC, a Delaware limited liability company (“</w:t>
      </w:r>
      <w:r>
        <w:rPr>
          <w:rFonts w:ascii="Times New Roman PS Std;serif" w:hAnsi="Times New Roman PS Std;serif"/>
          <w:b/>
          <w:i/>
          <w:sz w:val="20"/>
        </w:rPr>
        <w:t>Merger Sub</w:t>
      </w:r>
      <w:r>
        <w:rPr>
          <w:caps w:val="false"/>
          <w:smallCaps w:val="false"/>
        </w:rPr>
        <w:t>”</w:t>
      </w:r>
      <w:r>
        <w:rPr>
          <w:rFonts w:ascii="Times New Roman PS Std;serif" w:hAnsi="Times New Roman PS Std;serif"/>
          <w:b w:val="false"/>
          <w:i w:val="false"/>
          <w:caps w:val="false"/>
          <w:smallCaps w:val="false"/>
          <w:sz w:val="20"/>
        </w:rPr>
        <w:t>), pursuant to which the Company, Tenax and Merger Sub agreed to enter into a business combination transaction pursuant to which Merger Sub will merge with and into Tenax, with Tenax surviving as a wholly-owned subsidiary of the Company (the “</w:t>
      </w:r>
      <w:r>
        <w:rPr>
          <w:rFonts w:ascii="Times New Roman PS Std;serif" w:hAnsi="Times New Roman PS Std;serif"/>
          <w:b/>
          <w:i/>
          <w:sz w:val="20"/>
        </w:rPr>
        <w:t>Merger</w:t>
      </w:r>
      <w:r>
        <w:rPr>
          <w:caps w:val="false"/>
          <w:smallCaps w:val="false"/>
        </w:rPr>
        <w:t>”</w:t>
      </w:r>
      <w:r>
        <w:rPr>
          <w:rFonts w:ascii="Times New Roman PS Std;serif" w:hAnsi="Times New Roman PS Std;serif"/>
          <w:b w:val="false"/>
          <w:i w:val="false"/>
          <w:caps w:val="false"/>
          <w:smallCaps w:val="false"/>
          <w:sz w:val="20"/>
        </w:rPr>
        <w:t>), in consideration for the issuance of shares of Company common stock, par value $0.001 per share (“</w:t>
      </w:r>
      <w:r>
        <w:rPr>
          <w:rFonts w:ascii="Times New Roman PS Std;serif" w:hAnsi="Times New Roman PS Std;serif"/>
          <w:b/>
          <w:i/>
          <w:sz w:val="20"/>
        </w:rPr>
        <w:t>Common Stock</w:t>
      </w:r>
      <w:r>
        <w:rPr>
          <w:caps w:val="false"/>
          <w:smallCaps w:val="false"/>
        </w:rPr>
        <w:t>”</w:t>
      </w:r>
      <w:r>
        <w:rPr>
          <w:rFonts w:ascii="Times New Roman PS Std;serif" w:hAnsi="Times New Roman PS Std;serif"/>
          <w:b w:val="false"/>
          <w:i w:val="false"/>
          <w:caps w:val="false"/>
          <w:smallCaps w:val="false"/>
          <w:sz w:val="20"/>
        </w:rPr>
        <w:t>), to the holders of membership units of Tenax;</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the terms of the Merger Agreement, the Company agreed to enter into a redemption rights agreement</w:t>
      </w:r>
      <w:r>
        <w:rPr>
          <w:caps w:val="false"/>
          <w:smallCaps w:val="false"/>
        </w:rPr>
        <w:t> </w:t>
      </w:r>
      <w:r>
        <w:rPr>
          <w:rFonts w:ascii="Times New Roman PS Std;serif" w:hAnsi="Times New Roman PS Std;serif"/>
          <w:b w:val="false"/>
          <w:i w:val="false"/>
          <w:caps w:val="false"/>
          <w:smallCaps w:val="false"/>
          <w:sz w:val="20"/>
        </w:rPr>
        <w:t>with the Rights Agent, pursuant to which beneficial owners of Common Stock as of the close of business on the business day immediately preceding the closing of the Merger (such beneficial owners, the “</w:t>
      </w:r>
      <w:r>
        <w:rPr>
          <w:rFonts w:ascii="Times New Roman PS Std;serif" w:hAnsi="Times New Roman PS Std;serif"/>
          <w:b/>
          <w:i/>
          <w:sz w:val="20"/>
        </w:rPr>
        <w:t>Existing Stockholders</w:t>
      </w:r>
      <w:r>
        <w:rPr>
          <w:caps w:val="false"/>
          <w:smallCaps w:val="false"/>
        </w:rPr>
        <w:t>”</w:t>
      </w:r>
      <w:r>
        <w:rPr>
          <w:rFonts w:ascii="Times New Roman PS Std;serif" w:hAnsi="Times New Roman PS Std;serif"/>
          <w:b w:val="false"/>
          <w:i w:val="false"/>
          <w:caps w:val="false"/>
          <w:smallCaps w:val="false"/>
          <w:sz w:val="20"/>
        </w:rPr>
        <w:t>), will have the right, subject to the satisfaction of certain conditions, to cause the Company to redeem their shares of Common Stock for an amount in cash equal to $[*]</w:t>
      </w:r>
      <w:r>
        <w:rPr>
          <w:rFonts w:ascii="Times New Roman PS Std;serif" w:hAnsi="Times New Roman PS Std;serif"/>
          <w:b w:val="false"/>
          <w:i w:val="false"/>
          <w:caps w:val="false"/>
          <w:smallCaps w:val="false"/>
          <w:sz w:val="12"/>
        </w:rPr>
        <w:t>1</w:t>
      </w:r>
      <w:r>
        <w:rPr>
          <w:caps w:val="false"/>
          <w:smallCaps w:val="false"/>
        </w:rPr>
        <w:t xml:space="preserve"> </w:t>
      </w:r>
      <w:r>
        <w:rPr>
          <w:rFonts w:ascii="Times New Roman PS Std;serif" w:hAnsi="Times New Roman PS Std;serif"/>
          <w:b w:val="false"/>
          <w:i w:val="false"/>
          <w:caps w:val="false"/>
          <w:smallCaps w:val="false"/>
          <w:sz w:val="20"/>
        </w:rPr>
        <w:t>following the first anniversary of the closing of the Merger; and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caps w:val="false"/>
          <w:smallCaps w:val="false"/>
        </w:rPr>
        <w:t> </w:t>
      </w:r>
      <w:r>
        <w:rPr>
          <w:rFonts w:ascii="Times New Roman PS Std;serif" w:hAnsi="Times New Roman PS Std;serif"/>
          <w:b w:val="false"/>
          <w:i w:val="false"/>
          <w:caps w:val="false"/>
          <w:smallCaps w:val="false"/>
          <w:sz w:val="20"/>
        </w:rPr>
        <w:t>on [*], 2026, the board of directors of the Company (the “</w:t>
      </w:r>
      <w:r>
        <w:rPr>
          <w:rFonts w:ascii="Times New Roman PS Std;serif" w:hAnsi="Times New Roman PS Std;serif"/>
          <w:b/>
          <w:i/>
          <w:sz w:val="20"/>
        </w:rPr>
        <w:t>Board</w:t>
      </w:r>
      <w:r>
        <w:rPr>
          <w:caps w:val="false"/>
          <w:smallCaps w:val="false"/>
        </w:rPr>
        <w:t>”</w:t>
      </w:r>
      <w:r>
        <w:rPr>
          <w:rFonts w:ascii="Times New Roman PS Std;serif" w:hAnsi="Times New Roman PS Std;serif"/>
          <w:b w:val="false"/>
          <w:i w:val="false"/>
          <w:caps w:val="false"/>
          <w:smallCaps w:val="false"/>
          <w:sz w:val="20"/>
        </w:rPr>
        <w:t>) authorized and declared a dividend, to be distributed to the Existing Stockholders on [*], 2026 (the “</w:t>
      </w:r>
      <w:r>
        <w:rPr>
          <w:rFonts w:ascii="Times New Roman PS Std;serif" w:hAnsi="Times New Roman PS Std;serif"/>
          <w:b/>
          <w:i/>
          <w:sz w:val="20"/>
        </w:rPr>
        <w:t>Rights Distribution Date</w:t>
      </w:r>
      <w:r>
        <w:rPr>
          <w:caps w:val="false"/>
          <w:smallCaps w:val="false"/>
        </w:rPr>
        <w:t>”</w:t>
      </w:r>
      <w:r>
        <w:rPr>
          <w:rFonts w:ascii="Times New Roman PS Std;serif" w:hAnsi="Times New Roman PS Std;serif"/>
          <w:b w:val="false"/>
          <w:i w:val="false"/>
          <w:caps w:val="false"/>
          <w:smallCaps w:val="false"/>
          <w:sz w:val="20"/>
        </w:rPr>
        <w:t>), of one right for each share of Common Stock owned as of the close of business on the trading day immediately preceding the closing of the Merger, pursuant to which an Existing Stockholder may, during the period specified in this Agreement, require the Company to purchase such share of Common Stock for an amount in cash equal to the applicable redemption price, on the terms and subject to the conditions set forth in the relevant rights certificate issued hereunder and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NOW, THEREFORE,</w:t>
      </w:r>
      <w:r>
        <w:rPr>
          <w:caps w:val="false"/>
          <w:smallCaps w:val="false"/>
        </w:rPr>
        <w:t> </w:t>
      </w:r>
      <w:r>
        <w:rPr>
          <w:rFonts w:ascii="Times New Roman PS Std;serif" w:hAnsi="Times New Roman PS Std;serif"/>
          <w:b w:val="false"/>
          <w:i w:val="false"/>
          <w:caps w:val="false"/>
          <w:smallCaps w:val="false"/>
          <w:sz w:val="20"/>
        </w:rPr>
        <w:t>in consideration of the premises and the mutual agreements herein set forth, the parties hereby agree as follows: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 </w:t>
      </w:r>
      <w:r>
        <w:rPr>
          <w:rFonts w:ascii="Times New Roman PS Std;serif" w:hAnsi="Times New Roman PS Std;serif"/>
          <w:b/>
          <w:i w:val="false"/>
          <w:caps w:val="false"/>
          <w:smallCaps w:val="false"/>
          <w:sz w:val="20"/>
          <w:u w:val="single"/>
        </w:rPr>
        <w:t>Certain Definitions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Agreement, the following terms have the meanings indicated: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w:t>
      </w:r>
      <w:r>
        <w:rPr>
          <w:caps w:val="false"/>
          <w:smallCaps w:val="false"/>
        </w:rPr>
        <w:t xml:space="preserve">” </w:t>
      </w:r>
      <w:r>
        <w:rPr>
          <w:rFonts w:ascii="Times New Roman PS Std;serif" w:hAnsi="Times New Roman PS Std;serif"/>
          <w:b w:val="false"/>
          <w:i w:val="false"/>
          <w:caps w:val="false"/>
          <w:smallCaps w:val="false"/>
          <w:sz w:val="20"/>
        </w:rPr>
        <w:t>of a Person shall mean a Person who, directly or indirectly through one or more intermediaries, controls, is controlled by or is under common control with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Agreement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Anniversary Date</w:t>
      </w:r>
      <w:r>
        <w:rPr>
          <w:caps w:val="false"/>
          <w:smallCaps w:val="false"/>
        </w:rPr>
        <w:t xml:space="preserve">” </w:t>
      </w:r>
      <w:r>
        <w:rPr>
          <w:rFonts w:ascii="Times New Roman PS Std;serif" w:hAnsi="Times New Roman PS Std;serif"/>
          <w:b w:val="false"/>
          <w:i w:val="false"/>
          <w:caps w:val="false"/>
          <w:smallCaps w:val="false"/>
          <w:sz w:val="20"/>
        </w:rPr>
        <w:t>shall mean the first anniversary of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Board</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Business Day</w:t>
      </w:r>
      <w:r>
        <w:rPr>
          <w:caps w:val="false"/>
          <w:smallCaps w:val="false"/>
        </w:rPr>
        <w:t xml:space="preserve">” </w:t>
      </w:r>
      <w:r>
        <w:rPr>
          <w:rFonts w:ascii="Times New Roman PS Std;serif" w:hAnsi="Times New Roman PS Std;serif"/>
          <w:b w:val="false"/>
          <w:i w:val="false"/>
          <w:caps w:val="false"/>
          <w:smallCaps w:val="false"/>
          <w:sz w:val="20"/>
        </w:rPr>
        <w:t>shall mean any day other than a Saturday, a Sunday or a day on which banking institutions in the State of New York are authorized or obligated by law or executive order to close.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Charter</w:t>
      </w:r>
      <w:r>
        <w:rPr>
          <w:caps w:val="false"/>
          <w:smallCaps w:val="false"/>
        </w:rPr>
        <w:t xml:space="preserve">” </w:t>
      </w:r>
      <w:r>
        <w:rPr>
          <w:rFonts w:ascii="Times New Roman PS Std;serif" w:hAnsi="Times New Roman PS Std;serif"/>
          <w:b w:val="false"/>
          <w:i w:val="false"/>
          <w:caps w:val="false"/>
          <w:smallCaps w:val="false"/>
          <w:sz w:val="20"/>
        </w:rPr>
        <w:t>shall mean the Company’s Amended and Restated Articles of Incorporation, as amended, as the same may be further amended or amended and restated from time to time.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Close of Business</w:t>
      </w:r>
      <w:r>
        <w:rPr>
          <w:caps w:val="false"/>
          <w:smallCaps w:val="false"/>
        </w:rPr>
        <w:t xml:space="preserve">” </w:t>
      </w:r>
      <w:r>
        <w:rPr>
          <w:rFonts w:ascii="Times New Roman PS Std;serif" w:hAnsi="Times New Roman PS Std;serif"/>
          <w:b w:val="false"/>
          <w:i w:val="false"/>
          <w:caps w:val="false"/>
          <w:smallCaps w:val="false"/>
          <w:sz w:val="20"/>
        </w:rPr>
        <w:t>on any given date shall mean 5:00 P.M., New York City time, on such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such date is not a Business Day, “Close of Business” shall mean 5:00 P.M., New York City time, on the next succeeding Business Day.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w:t>
      </w:r>
      <w:r>
        <w:rPr>
          <w:caps w:val="false"/>
          <w:smallCaps w:val="false"/>
        </w:rPr>
        <w:t xml:space="preserve">” </w:t>
      </w:r>
      <w:r>
        <w:rPr>
          <w:rFonts w:ascii="Times New Roman PS Std;serif" w:hAnsi="Times New Roman PS Std;serif"/>
          <w:b w:val="false"/>
          <w:i w:val="false"/>
          <w:caps w:val="false"/>
          <w:smallCaps w:val="false"/>
          <w:sz w:val="20"/>
        </w:rPr>
        <w:t>shall mean the closing of the Merger.</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Common Stock</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Act</w:t>
      </w:r>
      <w:r>
        <w:rPr>
          <w:caps w:val="false"/>
          <w:smallCaps w:val="false"/>
        </w:rPr>
        <w:t xml:space="preserve">” </w:t>
      </w:r>
      <w:r>
        <w:rPr>
          <w:rFonts w:ascii="Times New Roman PS Std;serif" w:hAnsi="Times New Roman PS Std;serif"/>
          <w:b w:val="false"/>
          <w:i w:val="false"/>
          <w:caps w:val="false"/>
          <w:smallCaps w:val="false"/>
          <w:sz w:val="20"/>
        </w:rPr>
        <w:t>shall mean the Securities Exchange Act of 1934, as amended.</w:t>
      </w:r>
    </w:p>
    <w:p>
      <w:pPr>
        <w:pStyle w:val="TextBody"/>
        <w:widowControl/>
        <w:pBdr/>
        <w:bidi w:val="0"/>
        <w:spacing w:before="160" w:after="283"/>
        <w:ind w:left="500" w:right="0" w:hanging="0"/>
        <w:jc w:val="left"/>
        <w:rPr/>
      </w:pPr>
      <w:r>
        <w:rPr>
          <w:caps w:val="false"/>
          <w:smallCaps w:val="false"/>
        </w:rPr>
        <w:t>“</w:t>
      </w:r>
      <w:r>
        <w:rPr>
          <w:rFonts w:ascii="Times New Roman PS Std;serif" w:hAnsi="Times New Roman PS Std;serif"/>
          <w:b/>
          <w:i/>
          <w:sz w:val="20"/>
        </w:rPr>
        <w:t>Exchange Act Regulations</w:t>
      </w:r>
      <w:r>
        <w:rPr>
          <w:caps w:val="false"/>
          <w:smallCaps w:val="false"/>
        </w:rPr>
        <w:t xml:space="preserve">” </w:t>
      </w:r>
      <w:r>
        <w:rPr>
          <w:rFonts w:ascii="Times New Roman PS Std;serif" w:hAnsi="Times New Roman PS Std;serif"/>
          <w:b w:val="false"/>
          <w:i w:val="false"/>
          <w:caps w:val="false"/>
          <w:smallCaps w:val="false"/>
          <w:sz w:val="20"/>
        </w:rPr>
        <w:t>shall mean the general rules and regulations promulgated under the Exchange Act.</w:t>
      </w:r>
    </w:p>
    <w:p>
      <w:pPr>
        <w:pStyle w:val="TextBody"/>
        <w:widowControl/>
        <w:pBdr/>
        <w:bidi w:val="0"/>
        <w:spacing w:before="160" w:after="283"/>
        <w:ind w:left="500" w:right="0" w:hanging="0"/>
        <w:jc w:val="left"/>
        <w:rPr/>
      </w:pPr>
      <w:r>
        <w:rPr>
          <w:caps w:val="false"/>
          <w:smallCaps w:val="false"/>
        </w:rPr>
        <w:t>“</w:t>
      </w:r>
      <w:r>
        <w:rPr>
          <w:rFonts w:ascii="Times New Roman PS Std;serif" w:hAnsi="Times New Roman PS Std;serif"/>
          <w:b/>
          <w:i/>
          <w:sz w:val="20"/>
        </w:rPr>
        <w:t>Existing Stockholders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Expiration Time</w:t>
      </w:r>
      <w:r>
        <w:rPr>
          <w:caps w:val="false"/>
          <w:smallCaps w:val="false"/>
        </w:rPr>
        <w:t xml:space="preserve">” </w:t>
      </w:r>
      <w:r>
        <w:rPr>
          <w:rFonts w:ascii="Times New Roman PS Std;serif" w:hAnsi="Times New Roman PS Std;serif"/>
          <w:b w:val="false"/>
          <w:i w:val="false"/>
          <w:caps w:val="false"/>
          <w:smallCaps w:val="false"/>
          <w:sz w:val="20"/>
        </w:rPr>
        <w:t>shall mean the Close of Business on the last day of the Redemption Period.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Measurement Period</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7(c)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 Agreement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 Sub</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Notice of Redemption</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8(a)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w:t>
      </w:r>
      <w:r>
        <w:rPr>
          <w:caps w:val="false"/>
          <w:smallCaps w:val="false"/>
        </w:rPr>
        <w:t xml:space="preserve">” </w:t>
      </w:r>
      <w:r>
        <w:rPr>
          <w:rFonts w:ascii="Times New Roman PS Std;serif" w:hAnsi="Times New Roman PS Std;serif"/>
          <w:b w:val="false"/>
          <w:i w:val="false"/>
          <w:caps w:val="false"/>
          <w:smallCaps w:val="false"/>
          <w:sz w:val="20"/>
        </w:rPr>
        <w:t>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Record Date</w:t>
      </w:r>
      <w:r>
        <w:rPr>
          <w:caps w:val="false"/>
          <w:smallCaps w:val="false"/>
        </w:rPr>
        <w:t xml:space="preserve">” </w:t>
      </w:r>
      <w:r>
        <w:rPr>
          <w:rFonts w:ascii="Times New Roman PS Std;serif" w:hAnsi="Times New Roman PS Std;serif"/>
          <w:b w:val="false"/>
          <w:i w:val="false"/>
          <w:caps w:val="false"/>
          <w:smallCaps w:val="false"/>
          <w:sz w:val="20"/>
        </w:rPr>
        <w:t>shall mean the Trading Day immediately preceding the date of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Redemption Period</w:t>
      </w:r>
      <w:r>
        <w:rPr>
          <w:caps w:val="false"/>
          <w:smallCaps w:val="false"/>
        </w:rPr>
        <w:t xml:space="preserve">” </w:t>
      </w:r>
      <w:r>
        <w:rPr>
          <w:rFonts w:ascii="Times New Roman PS Std;serif" w:hAnsi="Times New Roman PS Std;serif"/>
          <w:b w:val="false"/>
          <w:i w:val="false"/>
          <w:caps w:val="false"/>
          <w:smallCaps w:val="false"/>
          <w:sz w:val="20"/>
        </w:rPr>
        <w:t>shall mean the ten consecutive Trading Days commencing on the Trading Day immediately following the Anniversary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Redemption Price</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7(b)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w:t>
      </w:r>
      <w:r>
        <w:rPr>
          <w:caps w:val="false"/>
          <w:smallCaps w:val="false"/>
        </w:rPr>
        <w:t xml:space="preserve">” </w:t>
      </w:r>
      <w:r>
        <w:rPr>
          <w:rFonts w:ascii="Times New Roman PS Std;serif" w:hAnsi="Times New Roman PS Std;serif"/>
          <w:b w:val="false"/>
          <w:i w:val="false"/>
          <w:caps w:val="false"/>
          <w:smallCaps w:val="false"/>
          <w:sz w:val="20"/>
        </w:rPr>
        <w:t>shall mean the right of an Existing Stockholder, during the Redemption Period, to require the Company to purchase a Subject Share for an amount in cash equal to the Redemption Price, on the terms and subject to the conditions set forth in the relevant Rights Certificate and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Agent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Certificates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w:t>
      </w:r>
      <w:r>
        <w:rPr>
          <w:rFonts w:ascii="Times New Roman PS Std;serif" w:hAnsi="Times New Roman PS Std;serif"/>
          <w:b w:val="false"/>
          <w:i w:val="false"/>
          <w:caps w:val="false"/>
          <w:smallCaps w:val="false"/>
          <w:sz w:val="20"/>
          <w:u w:val="single"/>
        </w:rPr>
        <w:t>Section 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Distribution Date</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Securities Act</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29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Subject Shares</w:t>
      </w:r>
      <w:r>
        <w:rPr>
          <w:caps w:val="false"/>
          <w:smallCaps w:val="false"/>
        </w:rPr>
        <w:t xml:space="preserve">” </w:t>
      </w:r>
      <w:r>
        <w:rPr>
          <w:rFonts w:ascii="Times New Roman PS Std;serif" w:hAnsi="Times New Roman PS Std;serif"/>
          <w:b w:val="false"/>
          <w:i w:val="false"/>
          <w:caps w:val="false"/>
          <w:smallCaps w:val="false"/>
          <w:sz w:val="20"/>
        </w:rPr>
        <w:t>shall mean each share of Common Stock beneficially owned by each Existing Stockholder as of the Close of Business on the Record Date and continuously owned by such Existing Stockholder until the exercise of the Right with respect thereto.</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Subsidiary</w:t>
      </w:r>
      <w:r>
        <w:rPr>
          <w:caps w:val="false"/>
          <w:smallCaps w:val="false"/>
        </w:rPr>
        <w:t xml:space="preserve">” </w:t>
      </w:r>
      <w:r>
        <w:rPr>
          <w:rFonts w:ascii="Times New Roman PS Std;serif" w:hAnsi="Times New Roman PS Std;serif"/>
          <w:b w:val="false"/>
          <w:i w:val="false"/>
          <w:caps w:val="false"/>
          <w:smallCaps w:val="false"/>
          <w:sz w:val="20"/>
        </w:rPr>
        <w:t>of any specified Person shall mean an Affiliate controlled by such Person, directly or indirectly, through one or more intermediaries.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Tenax</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Trading Day</w:t>
      </w:r>
      <w:r>
        <w:rPr>
          <w:caps w:val="false"/>
          <w:smallCaps w:val="false"/>
        </w:rPr>
        <w:t xml:space="preserve">” </w:t>
      </w:r>
      <w:r>
        <w:rPr>
          <w:rFonts w:ascii="Times New Roman PS Std;serif" w:hAnsi="Times New Roman PS Std;serif"/>
          <w:b w:val="false"/>
          <w:i w:val="false"/>
          <w:caps w:val="false"/>
          <w:smallCaps w:val="false"/>
          <w:sz w:val="20"/>
        </w:rPr>
        <w:t>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VWAP</w:t>
      </w:r>
      <w:r>
        <w:rPr>
          <w:caps w:val="false"/>
          <w:smallCaps w:val="false"/>
        </w:rPr>
        <w:t xml:space="preserve">” </w:t>
      </w:r>
      <w:r>
        <w:rPr>
          <w:rFonts w:ascii="Times New Roman PS Std;serif" w:hAnsi="Times New Roman PS Std;serif"/>
          <w:b w:val="false"/>
          <w:i w:val="false"/>
          <w:caps w:val="false"/>
          <w:smallCaps w:val="false"/>
          <w:sz w:val="20"/>
        </w:rPr>
        <w:t>shall mean the volume weighted average per-share price (as reported by Bloomberg), rounded to the nearest cent, of Common Stock on the principal national securities exchange on which shares of Common Stock are listed or admitted to trading.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2. </w:t>
      </w:r>
      <w:r>
        <w:rPr>
          <w:rFonts w:ascii="Times New Roman PS Std;serif" w:hAnsi="Times New Roman PS Std;serif"/>
          <w:b/>
          <w:i w:val="false"/>
          <w:caps w:val="false"/>
          <w:smallCaps w:val="false"/>
          <w:sz w:val="20"/>
          <w:u w:val="single"/>
        </w:rPr>
        <w:t>Appointment of Rights Agent</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hereby appoints the Rights Agent to act as agent for the Company in accordance with the terms and conditions of this Agreement, and the Rights Agent hereby accepts such appointment. The Rights Agent represents and warrants to the Company that it is duly organized, validly existing and in good standing under the laws of the jurisdiction of its organization, and that it has full power and authority to execute and deliver this Agreement and to perform its obligations hereunder, and that this Agreement has been duly authorized, executed and delivered by the Rights Agent and constitutes its legal, valid and binding obligation, enforceable against it in accordance with its terms.</w:t>
      </w:r>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3. </w:t>
      </w:r>
      <w:r>
        <w:rPr>
          <w:rFonts w:ascii="Times New Roman PS Std;serif" w:hAnsi="Times New Roman PS Std;serif"/>
          <w:b/>
          <w:i w:val="false"/>
          <w:caps w:val="false"/>
          <w:smallCaps w:val="false"/>
          <w:sz w:val="20"/>
          <w:u w:val="single"/>
        </w:rPr>
        <w:t>Issuance of the Rights</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Until certificates evidencing the Rights are distributed to Existing Stockholders, the Rights shall be evidenced by the certificates for shares of Common Stock registered in the names of the Existing Stockholders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and registered holders of such shares of Common Stock shall also be the registered holders of the associated Rights. As of and after the Rights Distribution Date, the Rights shall be evidenced solely by the Rights Certificates.</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(b) The Company shall promptly notify the Rights Agent of the Rights Distribution Date and request its transfer agent (if its transfer agent is not the Rights Agent) to give the Rights Agent a list of Existing Stockholders together with all other relevant information. Until such notice is received by the Rights Agent, the Rights Agent may presume conclusively for all purposes that the Rights Distribution Date has not occurred;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for the avoidance of doubt, the failure of the Company to timely deliver such notice shall not alter, amend or modify the rights, privileges and obligations of the Existing Stockholders. As soon as practicable after the Rights Agent is notified of the Rights Distribution Date and receives such information, the Rights Agent shall send by first-class, postage prepaid mail, to the last address of each holder of record of Common Stock as of the Close of Business on the Business Day immediately preceding the Closing as it appears on the records of the Company or its transfer agent or registrar for Common Stock, with instructions to each holder of record to deliver such notice to the applicable Existing Stockholder, one or more certificates (the “</w:t>
      </w:r>
      <w:r>
        <w:rPr>
          <w:rFonts w:ascii="Times New Roman PS Std;serif" w:hAnsi="Times New Roman PS Std;serif"/>
          <w:b/>
          <w:i/>
          <w:sz w:val="20"/>
        </w:rPr>
        <w:t>Rights Certificates</w:t>
      </w:r>
      <w:r>
        <w:rPr>
          <w:caps w:val="false"/>
          <w:smallCaps w:val="false"/>
        </w:rPr>
        <w:t>”</w:t>
      </w:r>
      <w:r>
        <w:rPr>
          <w:rFonts w:ascii="Times New Roman PS Std;serif" w:hAnsi="Times New Roman PS Std;serif"/>
          <w:b w:val="false"/>
          <w:i w:val="false"/>
          <w:caps w:val="false"/>
          <w:smallCaps w:val="false"/>
          <w:sz w:val="20"/>
        </w:rPr>
        <w:t>), evidencing one Right for each share of Common Stock owned as of the Close of Business on the Record Date.</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Rights shall be issued in respect of shares of Common Stock that are issued (whether originally issued or from the Company’s treasury) after the Record Date.</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the event the Company purchases or acquires any shares of Common Stock after the Record Date but prior to the Rights Distribution Date, any Rights associated with such shares shall be deemed cancelled and of no further effect.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Rights and the Rights Certificates may not be sold, assigned or transferred, in whole or in part, in any manner. Any Right held by an Existing Stockholder shall automatically cease to exist upon any transfer, sale or assignment of beneficial ownership of the Subject Share to which such Right relates (it being understood that any administrative surrender of certificates for reissuance, consolidation or similar purposes that does not result in a change of beneficial ownership shall not cause such cessation).</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(f) The Company shall make available, as promptly as practicable following the Rights Distribution Date, a copy of a Summary of Rights to Redeem Common Stock, in substantially the form attached as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 to any Existing Stockholder who may request such information prior to the Expiration Time.</w:t>
      </w:r>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4. </w:t>
      </w:r>
      <w:r>
        <w:rPr>
          <w:rFonts w:ascii="Times New Roman PS Std;serif" w:hAnsi="Times New Roman PS Std;serif"/>
          <w:b/>
          <w:i w:val="false"/>
          <w:caps w:val="false"/>
          <w:smallCaps w:val="false"/>
          <w:sz w:val="20"/>
          <w:u w:val="single"/>
        </w:rPr>
        <w:t>Rights Certificates</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 xml:space="preserve">(a) The Rights Certificates shall be in substantially the form attached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to conform to customary usage. The Rights Certificates, whenever distributed, shall be dated as of the Record Date, and on their face shall entitle the holders thereof to require the Company to purchase the Subject Shares related thereto for an amount in cash equal to the Redemption Price during the Redemption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Rights Certificates shall be executed on behalf of the Company by its Chief Executive Officer, President, Chief Financial Officer, Secretary or Treasurer,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authorized officer of the Company who shall have signed or attested any of the Rights Certificates shall cease to be an authorized officer of the Company before countersignature by the Rights Agent, such Rights Certificates may nevertheless be countersigned by the Rights Agent and issued and delivered with the same force and effect as though the Person who signed or attested such Rights Certificates had not ceased to be an authorized officer of the Company. In addition, any of the Rights Certificates may be signed or attested on behalf of the Company by any Person who, at the actual date of the execution of such Rights Certificate, is an authorized officer of the Company even if such Person was not an authorized officer of the Company at the date of the execution of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Following the Rights Distribution Date, the Rights Agent shall keep or cause to be kept, at its principal office or offices designated as the appropriate place for surrender of Rights Certificates upon exercise, books for registration of the Rights Certificates issued hereunder. Such books shall show the names and addresses of the respective Existing Stockholders, the number of Rights evidenced on its face by each of the Rights Certificates held by each Existing Stockholder and the certificate number and the date of each of the Rights Certificates. The Rights Agent shall make such books available for inspection by the Company at any time during normal business hours upon reasonable prior written notice.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5. </w:t>
      </w:r>
      <w:r>
        <w:rPr>
          <w:rFonts w:ascii="Times New Roman PS Std;serif" w:hAnsi="Times New Roman PS Std;serif"/>
          <w:b/>
          <w:i w:val="false"/>
          <w:caps w:val="false"/>
          <w:smallCaps w:val="false"/>
          <w:sz w:val="20"/>
          <w:u w:val="single"/>
        </w:rPr>
        <w:t>Mutilated, Destroyed, Lost or Stolen Rights Certificates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receipt by the Company and the Rights Agent of (a) evidence reasonably satisfactory to the Company and the Rights Agent of the loss, theft, destruction or mutilation of a valid Rights Certificate, (b) (i) in the case of mutilation, the Rights Certificate or (ii) in the case of loss, theft or destruction, indemnity or security reasonably satisfactory to the Company and the Rights Agent and (c) reimbursement to the Company and the Rights Agent of all reasonable expenses incidental thereto, and, in the case of mutilation, upon cancellation of the Rights Certificate so surrendered, the Company shall prepare, execute and deliver a new Rights Certificate of like tenor to the Rights Agent for countersignature and delivery to the registered owner in lieu of the Rights Certificate so lost, stolen, destroyed or mutilated.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6. </w:t>
      </w:r>
      <w:r>
        <w:rPr>
          <w:rFonts w:ascii="Times New Roman PS Std;serif" w:hAnsi="Times New Roman PS Std;serif"/>
          <w:b/>
          <w:i w:val="false"/>
          <w:caps w:val="false"/>
          <w:smallCaps w:val="false"/>
          <w:sz w:val="20"/>
          <w:u w:val="single"/>
        </w:rPr>
        <w:t>Cancellation and Destruction of Rights Certificates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Rights Certificates surrendered for the purpose of exercise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7. </w:t>
      </w:r>
      <w:r>
        <w:rPr>
          <w:rFonts w:ascii="Times New Roman PS Std;serif" w:hAnsi="Times New Roman PS Std;serif"/>
          <w:b/>
          <w:i w:val="false"/>
          <w:caps w:val="false"/>
          <w:smallCaps w:val="false"/>
          <w:sz w:val="20"/>
          <w:u w:val="single"/>
        </w:rPr>
        <w:t>Redemption Price; Measurement Period</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Exercise of the Rights is subject to the following conditions:</w:t>
      </w:r>
    </w:p>
    <w:p>
      <w:pPr>
        <w:pStyle w:val="TextBody"/>
        <w:widowControl/>
        <w:pBdr/>
        <w:bidi w:val="0"/>
        <w:spacing w:before="160" w:after="283"/>
        <w:ind w:left="108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Existing Stockholder must have been a beneficial owner of shares of Common Stock as of the Close of Business on the Record Date;</w:t>
      </w:r>
    </w:p>
    <w:p>
      <w:pPr>
        <w:pStyle w:val="TextBody"/>
        <w:widowControl/>
        <w:pBdr/>
        <w:bidi w:val="0"/>
        <w:spacing w:before="160" w:after="283"/>
        <w:ind w:left="1080" w:right="0" w:hanging="360"/>
        <w:jc w:val="left"/>
        <w:rPr/>
      </w:pPr>
      <w:r>
        <w:rPr>
          <w:rFonts w:ascii="Times New Roman PS Std;serif" w:hAnsi="Times New Roman PS Std;serif"/>
          <w:b w:val="false"/>
          <w:i w:val="false"/>
          <w:caps w:val="false"/>
          <w:smallCaps w:val="false"/>
          <w:sz w:val="20"/>
        </w:rPr>
        <w:t>(ii)  such Existing Stockholder must have remained continuously a beneficial owner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Existing Stockholder cannot have sold and repurchased such shares); and</w:t>
      </w:r>
    </w:p>
    <w:p>
      <w:pPr>
        <w:pStyle w:val="TextBody"/>
        <w:widowControl/>
        <w:pBdr/>
        <w:bidi w:val="0"/>
        <w:spacing w:before="160" w:after="283"/>
        <w:ind w:left="1080" w:right="0" w:hanging="360"/>
        <w:jc w:val="left"/>
        <w:rPr/>
      </w:pPr>
      <w:r>
        <w:rPr>
          <w:rFonts w:ascii="Times New Roman PS Std;serif" w:hAnsi="Times New Roman PS Std;serif"/>
          <w:b w:val="false"/>
          <w:i w:val="false"/>
          <w:caps w:val="false"/>
          <w:smallCaps w:val="false"/>
          <w:sz w:val="20"/>
        </w:rPr>
        <w:t xml:space="preserve">(iii) during the 20 Trading Days prior to the first anniversary of the Closing, the volume weighted average price per share of the Common Stock must have been lower than the Redemption Price, rounded to the nearest cent, as the same may have been adjusted pursuant to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(b) The price that the Company shall pay to purchase each Subject Share duly submitted to the Rights Agent for redemption upon the exercise of a Right is, subject to adjustment as provided in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 an amount in cash equal to $[*]</w:t>
      </w:r>
      <w:r>
        <w:rPr>
          <w:rFonts w:ascii="Times New Roman PS Std;serif" w:hAnsi="Times New Roman PS Std;serif"/>
          <w:b w:val="false"/>
          <w:i w:val="false"/>
          <w:caps w:val="false"/>
          <w:smallCaps w:val="false"/>
          <w:sz w:val="12"/>
        </w:rPr>
        <w:t>2</w:t>
      </w:r>
      <w:r>
        <w:rPr>
          <w:caps w:val="false"/>
          <w:smallCaps w:val="false"/>
        </w:rPr>
        <w:t xml:space="preserve"> </w:t>
      </w:r>
      <w:r>
        <w:rPr>
          <w:rFonts w:ascii="Times New Roman PS Std;serif" w:hAnsi="Times New Roman PS Std;serif"/>
          <w:b w:val="false"/>
          <w:i w:val="false"/>
          <w:caps w:val="false"/>
          <w:smallCaps w:val="false"/>
          <w:sz w:val="20"/>
        </w:rPr>
        <w:t>per share (the “</w:t>
      </w:r>
      <w:r>
        <w:rPr>
          <w:rFonts w:ascii="Times New Roman PS Std;serif" w:hAnsi="Times New Roman PS Std;serif"/>
          <w:b/>
          <w:i/>
          <w:sz w:val="20"/>
        </w:rPr>
        <w:t>Redemption Price</w:t>
      </w:r>
      <w:r>
        <w:rPr>
          <w:caps w:val="false"/>
          <w:smallCaps w:val="false"/>
        </w:rPr>
        <w:t>”</w:t>
      </w:r>
      <w:r>
        <w:rPr>
          <w:rFonts w:ascii="Times New Roman PS Std;serif" w:hAnsi="Times New Roman PS Std;serif"/>
          <w:b w:val="false"/>
          <w:i w:val="false"/>
          <w:caps w:val="false"/>
          <w:smallCaps w:val="false"/>
          <w:sz w:val="20"/>
        </w:rPr>
        <w:t>), and shall be payable in accordance with </w:t>
      </w:r>
      <w:r>
        <w:rPr>
          <w:rFonts w:ascii="Times New Roman PS Std;serif" w:hAnsi="Times New Roman PS Std;serif"/>
          <w:b w:val="false"/>
          <w:i w:val="false"/>
          <w:caps w:val="false"/>
          <w:smallCaps w:val="false"/>
          <w:sz w:val="20"/>
          <w:u w:val="single"/>
        </w:rPr>
        <w:t>Section 8(b)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(c) The Company shall give written notice to the Existing Stockholders of the VWAP for the 20 full Trading Days ending on (and including) the Trading Day immediately preceding the Anniversary Date (the “</w:t>
      </w:r>
      <w:r>
        <w:rPr>
          <w:rFonts w:ascii="Times New Roman PS Std;serif" w:hAnsi="Times New Roman PS Std;serif"/>
          <w:b/>
          <w:i/>
          <w:sz w:val="20"/>
        </w:rPr>
        <w:t>Measurement Period</w:t>
      </w:r>
      <w:r>
        <w:rPr>
          <w:caps w:val="false"/>
          <w:smallCaps w:val="false"/>
        </w:rPr>
        <w:t>”</w:t>
      </w:r>
      <w:r>
        <w:rPr>
          <w:rFonts w:ascii="Times New Roman PS Std;serif" w:hAnsi="Times New Roman PS Std;serif"/>
          <w:b w:val="false"/>
          <w:i w:val="false"/>
          <w:caps w:val="false"/>
          <w:smallCaps w:val="false"/>
          <w:sz w:val="20"/>
        </w:rPr>
        <w:t>) not later than the second Business Day after the end of the Measurement Period by mailing such notice to the last address of each holder of record of Common Stock as of the Close of Business on the Business Day immediately preceding the Closing as it appears upon the registry books of the Rights Agent and instructing each holder of record to deliver such notice to the applicable Existing Stockholder, and (i) if the VWAP for the Measurement Period, rounded to the nearest cent, was lower than the Redemption Price (as the same may be amended from time to time in accordance with the provisions hereof), such notice shall confirm that the Rights may be exercised prior to the Expiration Time, or (ii) if the VWAP for the Measurement Period was equal to or in excess of the Redemption Price, such notice shall state that the Rights may not be exercised and have expired and that the Company has terminated this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(d) No later than the Trading Day immediately following the Anniversary Date, the Company shall issue a press release and file a Current Report on Form 8-K reporting the VWAP for the Measurement Period, stating whether the VWAP for the Measurement Period, rounded to the nearest cent, was lower than the Redemption Price and, if so, instructing Existing Stockholders as to the procedure for exercising their Rights in accordance with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If, prior to the Anniversary Date, the Common Stock ceases to be listed on a national securities exchange or quoted on over-the-counter markets, so that Existing Stockholders and the Company cannot readily determine the VWAP for the Measurement Period, an Existing Stockholder may exercise the Rights associated with such Existing Stockholder’s Subject Shares and receive the Redemption Price for such Subject Shares.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8. </w:t>
      </w:r>
      <w:r>
        <w:rPr>
          <w:rFonts w:ascii="Times New Roman PS Std;serif" w:hAnsi="Times New Roman PS Std;serif"/>
          <w:b/>
          <w:i w:val="false"/>
          <w:caps w:val="false"/>
          <w:smallCaps w:val="false"/>
          <w:sz w:val="20"/>
          <w:u w:val="single"/>
        </w:rPr>
        <w:t>Exercise of Rights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 Existing Stockholder may exercise the Rights evidenced by its Rights Certificate (except as otherwise provided herein, including the restrictions on exercisability set forth in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 xml:space="preserve">) in whole or in part at any time during the Redemption Period upon delivery to the Rights Agent and the Company a Notice of Redemption in the form annexed hereto as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i/>
          <w:sz w:val="20"/>
        </w:rPr>
        <w:t>Notice of Redemption</w:t>
      </w:r>
      <w:r>
        <w:rPr>
          <w:caps w:val="false"/>
          <w:smallCaps w:val="false"/>
        </w:rPr>
        <w:t>”</w:t>
      </w:r>
      <w:r>
        <w:rPr>
          <w:rFonts w:ascii="Times New Roman PS Std;serif" w:hAnsi="Times New Roman PS Std;serif"/>
          <w:b w:val="false"/>
          <w:i w:val="false"/>
          <w:caps w:val="false"/>
          <w:smallCaps w:val="false"/>
          <w:sz w:val="20"/>
        </w:rPr>
        <w:t>), properly completed and duly executed, together with the surrender of such Rights Certificate and the certificates representing the Subject Shares to be redeemed (to the extent such Subject Shares are certificated)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in accordance with the provisions of this Agreement. Upon receipt of such Notice of Redemption and surrender of such certificates, the Company shall determine, in good faith, whether the exercise otherwise complies with the other terms and conditions of this Agreement. If the Company determines in good faith that the proposed exercise does not comply with the other terms and conditions of this Agreement, the Company shall provide the Rights Agent with written notice of such determination, which notice shall include, in reasonable detail, the rationale for such determination, including which provisions of this Agreement the proposed exercise does not comply. The Rights Agent and the Company shall advise the Existing Stockholders who timely submit a Notice of Redemption of any defects in the documentation delivered with the Notice of Redemption and grant such Existing Stockholders a period of three (3) Business Days following delivery of notice of such defects to cure such defects, provided that in no event shall such cure period extend beyond the Expiration Time.</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(b) Not later than the Business Day immediately following the expiration of the Redemption Period, the Rights Agent shall provide the Company with a detailed list of the names of the Existing Stockholders who have submitted valid Notices of Redemption (including any defects cured in accordance with </w:t>
      </w:r>
      <w:r>
        <w:rPr>
          <w:rFonts w:ascii="Times New Roman PS Std;serif" w:hAnsi="Times New Roman PS Std;serif"/>
          <w:b w:val="false"/>
          <w:i w:val="false"/>
          <w:caps w:val="false"/>
          <w:smallCaps w:val="false"/>
          <w:sz w:val="20"/>
          <w:u w:val="single"/>
        </w:rPr>
        <w:t>Section 8(a)</w:t>
      </w:r>
      <w:r>
        <w:rPr>
          <w:rFonts w:ascii="Times New Roman PS Std;serif" w:hAnsi="Times New Roman PS Std;serif"/>
          <w:b w:val="false"/>
          <w:i w:val="false"/>
          <w:caps w:val="false"/>
          <w:smallCaps w:val="false"/>
          <w:sz w:val="20"/>
        </w:rPr>
        <w:t>) and the number of Subject Shares to be redeemed from such Existing Stockholders in accordance with such Notices of Redemption, together with copies thereof, and within two Business Days following receipt of such information, the Company shall deposit with the Rights Agent by wire transfer of immediately available funds an amount sufficient to pay the Redemption Price for all of the Subject Shares to be redeemed. The Rights Agent shall, subject to </w:t>
      </w:r>
      <w:r>
        <w:rPr>
          <w:rFonts w:ascii="Times New Roman PS Std;serif" w:hAnsi="Times New Roman PS Std;serif"/>
          <w:b w:val="false"/>
          <w:i w:val="false"/>
          <w:caps w:val="false"/>
          <w:smallCaps w:val="false"/>
          <w:sz w:val="20"/>
          <w:u w:val="single"/>
        </w:rPr>
        <w:t>Section 14(k)</w:t>
      </w:r>
      <w:r>
        <w:rPr>
          <w:rFonts w:ascii="Times New Roman PS Std;serif" w:hAnsi="Times New Roman PS Std;serif"/>
          <w:b w:val="false"/>
          <w:i w:val="false"/>
          <w:caps w:val="false"/>
          <w:smallCaps w:val="false"/>
          <w:sz w:val="20"/>
        </w:rPr>
        <w:t xml:space="preserve">, thereupon cause an amount in cash representing the aggregate Redemption Price for the Subject Shares redeemed </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 Upon such payment, the Rights Agent shall cancel the certificates representing such Subject Shares or otherwise reflect the cancellation of such Subject Shares as were uncertificated at the time of redemption.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9. </w:t>
      </w:r>
      <w:r>
        <w:rPr>
          <w:rFonts w:ascii="Times New Roman PS Std;serif" w:hAnsi="Times New Roman PS Std;serif"/>
          <w:b/>
          <w:i w:val="false"/>
          <w:caps w:val="false"/>
          <w:smallCaps w:val="false"/>
          <w:sz w:val="20"/>
          <w:u w:val="single"/>
        </w:rPr>
        <w:t>Tax Compliance and Withholding</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hereby authorizes the Rights Agent to deduct from all payments disbursed by the Rights Agent to the Existing Stockholders, if applicable, the tax required to be withheld pursuant to the Internal Revenue Code of 1986,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10. </w:t>
      </w:r>
      <w:r>
        <w:rPr>
          <w:rFonts w:ascii="Times New Roman PS Std;serif" w:hAnsi="Times New Roman PS Std;serif"/>
          <w:b/>
          <w:i w:val="false"/>
          <w:caps w:val="false"/>
          <w:smallCaps w:val="false"/>
          <w:sz w:val="20"/>
          <w:u w:val="single"/>
        </w:rPr>
        <w:t>Rights Holders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Every holder of a Right, by accepting such Right, consents and agrees with the Company and the Rights Agent that: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and the Rights Agent may deem and treat the Existing Stockholder in whose name a Rights Certificate (or, prior to the Rights Distribution Date,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shall be required to be affected by any notice to the contrary.</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(b) Notwithstanding anything in this Agreement to the contrary, neither the Company nor the Rights Agent shall have any liability to any Existing Stockholder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the Company shall use commercially reasonable efforts to have any such injunction, order, decree, judgment or ruling lifted or otherwise overturned as promptly as practicable.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11. </w:t>
      </w:r>
      <w:r>
        <w:rPr>
          <w:rFonts w:ascii="Times New Roman PS Std;serif" w:hAnsi="Times New Roman PS Std;serif"/>
          <w:b/>
          <w:i w:val="false"/>
          <w:caps w:val="false"/>
          <w:smallCaps w:val="false"/>
          <w:sz w:val="20"/>
          <w:u w:val="single"/>
        </w:rPr>
        <w:t>Rights of Action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rights of action in respect of this Agreement, other than rights of action vested in the Rights Agent pursuant to the terms of this Agreement, are vested in the respective Existing Stockholders holding the Rights Certificates, and any such Existing Stockholder, without the consent of the Rights Agent or of any other Existing Stockholder may, in such Existing Stockholder’s own behalf and for such Existing Stockholder’s own benefit, enforce, and may institute and maintain any suit, action or proceeding against the Company or any other Person to enforce, or otherwise act in respect of, such Existing Stockholder’s right to exercise the Rights evidenced by such Rights Certificate in the manner provided in such Rights Certificate and in this Agreement. Without limiting the foregoing or any remedies available to the Existing Stockholders, it is specifically acknowledged that the Existing Stockholders may not have an adequate remedy at law for any breach of this Agreement and shall be entitled to seek specific performance of the obligations hereunder and injunctive relief against actual or threatened violations of the obligations of any Person subject to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12. </w:t>
      </w:r>
      <w:r>
        <w:rPr>
          <w:rFonts w:ascii="Times New Roman PS Std;serif" w:hAnsi="Times New Roman PS Std;serif"/>
          <w:b/>
          <w:i w:val="false"/>
          <w:caps w:val="false"/>
          <w:smallCaps w:val="false"/>
          <w:sz w:val="20"/>
          <w:u w:val="single"/>
        </w:rPr>
        <w:t>Occurrence of Certain Corporate Actions and Events</w:t>
      </w:r>
      <w:r>
        <w:rPr>
          <w:rFonts w:ascii="Times New Roman PS Std;serif" w:hAnsi="Times New Roman PS Std;serif"/>
          <w:b w:val="false"/>
          <w:i w:val="false"/>
          <w:caps w:val="false"/>
          <w:smallCaps w:val="false"/>
          <w:sz w:val="20"/>
        </w:rPr>
        <w:t xml:space="preserve">. If, after the Record Date but prior to the Anniversary Date, the Company, at any time while the Rights are outstanding: (i) pays a share dividend or otherwise makes a distribution or distributions on its Common Stock or any other equity or equity equivalent securities payable in Common Stock, (ii) subdivides its outstanding Common Stock into a larger number of shares, (iii) combines (including by way of reverse share split) its outstanding Common Stock into a smaller number of shares or (iv) issues by reclassification of its Common Stock any shares of its Common Stock, then in each case the Redemption Price shall be multiplied by a fraction of which the numerator shall be the number of shares of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(excluding treasury shares, if any) outstanding immediately before such event and of which the denominator shall be the number of shares of Common Stock (excluding treasury shares, if any) outstanding immediately after such event, such that upon exercise of all of the Rights the aggregate Redemption Prices with respect to all Subject Shares shall remain unchanged. Any adjustment made pursuant to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shall become effective immediately after the record date for the determination of stockholders of the Company entitled to receive such dividend or distribution and shall become effective immediately after the effective date in the case of a subdivision, combination or re-classification.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13. </w:t>
      </w:r>
      <w:r>
        <w:rPr>
          <w:rFonts w:ascii="Times New Roman PS Std;serif" w:hAnsi="Times New Roman PS Std;serif"/>
          <w:b/>
          <w:i w:val="false"/>
          <w:caps w:val="false"/>
          <w:smallCaps w:val="false"/>
          <w:sz w:val="20"/>
          <w:u w:val="single"/>
        </w:rPr>
        <w:t>Notice of Certain Events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In the event the Company proposes, at any time after the Closing and before the Anniversary Date, (i) to effect any consolidation or merger into or with any other Person (other than a direct or indirect wholly-owned Subsidiary of the Company) or (ii) to effect the liquidation, dissolution or winding up of the Company, then, in each such case, the Company shall give to the Rights Agent and to each Existing Stockholder, to the extent feasible and in accordance with </w:t>
      </w:r>
      <w:r>
        <w:rPr>
          <w:rFonts w:ascii="Times New Roman PS Std;serif" w:hAnsi="Times New Roman PS Std;serif"/>
          <w:b w:val="false"/>
          <w:i w:val="false"/>
          <w:caps w:val="false"/>
          <w:smallCaps w:val="false"/>
          <w:sz w:val="20"/>
          <w:u w:val="single"/>
        </w:rPr>
        <w:t>Section 20</w:t>
      </w:r>
      <w:r>
        <w:rPr>
          <w:rFonts w:ascii="Times New Roman PS Std;serif" w:hAnsi="Times New Roman PS Std;serif"/>
          <w:b w:val="false"/>
          <w:i w:val="false"/>
          <w:caps w:val="false"/>
          <w:smallCaps w:val="false"/>
          <w:sz w:val="20"/>
        </w:rPr>
        <w:t>, a notice of such proposed action, which shall specify the date on which such consolidation, merger, liquidation, dissolution or winding up is to take place;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action shall be taken pursuant to this </w:t>
      </w:r>
      <w:r>
        <w:rPr>
          <w:rFonts w:ascii="Times New Roman PS Std;serif" w:hAnsi="Times New Roman PS Std;serif"/>
          <w:b w:val="false"/>
          <w:i w:val="false"/>
          <w:caps w:val="false"/>
          <w:smallCaps w:val="false"/>
          <w:sz w:val="20"/>
          <w:u w:val="single"/>
        </w:rPr>
        <w:t>Section 13</w:t>
      </w:r>
      <w:r>
        <w:rPr>
          <w:caps w:val="false"/>
          <w:smallCaps w:val="false"/>
        </w:rPr>
        <w:t xml:space="preserve"> </w:t>
      </w:r>
      <w:r>
        <w:rPr>
          <w:rFonts w:ascii="Times New Roman PS Std;serif" w:hAnsi="Times New Roman PS Std;serif"/>
          <w:b w:val="false"/>
          <w:i w:val="false"/>
          <w:caps w:val="false"/>
          <w:smallCaps w:val="false"/>
          <w:sz w:val="20"/>
        </w:rPr>
        <w:t>that will or would conflict with any provision of the Charter.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14. </w:t>
      </w:r>
      <w:r>
        <w:rPr>
          <w:rFonts w:ascii="Times New Roman PS Std;serif" w:hAnsi="Times New Roman PS Std;serif"/>
          <w:b/>
          <w:i w:val="false"/>
          <w:caps w:val="false"/>
          <w:smallCaps w:val="false"/>
          <w:sz w:val="20"/>
          <w:u w:val="single"/>
        </w:rPr>
        <w:t>Duties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Agent undertakes to perform only the duties and obligations expressly imposed by this Agreement, upon the following terms and conditions, by all of which the Company and the Existing Stockholders, by their acceptance thereof, shall be bound: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Agent may consult with legal counsel selected by it (who may be legal counsel for the Rights Agent or the Company or an employee of the Rights Agent), and the opinion of such counsel shall be full authorization and protection to the Rights Agent as to any action taken, suffered or omitted to be taken by it in good faith and in accordance with such advice or opinion, and the Rights Agent shall incur no liability with respect to any actions taken, suffered or omitted to be taken in accordance with such advice or opinion and in the absence of gross negligence, bad faith or willful misconduct by the Rights Agent (each as determined by a final, non-appealable judgment, order, decree or ruling of a court of competent jurisdiction).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Whenever in the performance of its duties under this Agreement the Rights Agent deems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General Counsel, Secretary or Treasurer of the Company, or any other authorized officer of the Company, and delivered to the Rights Agent, and such certificate shall be full authorization and protection to the Rights Agent, and the Rights Agent shall incur no liability for or in respect of any action taken, suffered or omitted to be taken by it in good faith under the provisions of this Agreement in reliance upon such certificate.</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(c) The Rights Agent shall be liable hereunder only for its own and its employees’, directors’, officers’ and agents’ negligence, bad faith or willful misconduct (each as determined by a final, non-appealable judgment, order, decree or ruling of a court of competent jurisdiction). Notwithstanding anything to the contrary herein, absent fraud, any liability of the Rights Agent under this Agreement will be limited to the amount of fees paid by the Company to the Rights Agent pursuant to </w:t>
      </w:r>
      <w:r>
        <w:rPr>
          <w:rFonts w:ascii="Times New Roman PS Std;serif" w:hAnsi="Times New Roman PS Std;serif"/>
          <w:b w:val="false"/>
          <w:i w:val="false"/>
          <w:caps w:val="false"/>
          <w:smallCaps w:val="false"/>
          <w:sz w:val="20"/>
          <w:u w:val="single"/>
        </w:rPr>
        <w:t>Section 15</w:t>
      </w:r>
      <w:r>
        <w:rPr>
          <w:caps w:val="false"/>
          <w:smallCaps w:val="false"/>
        </w:rPr>
        <w:t xml:space="preserve"> </w:t>
      </w:r>
      <w:r>
        <w:rPr>
          <w:rFonts w:ascii="Times New Roman PS Std;serif" w:hAnsi="Times New Roman PS Std;serif"/>
          <w:b w:val="false"/>
          <w:i w:val="false"/>
          <w:caps w:val="false"/>
          <w:smallCaps w:val="false"/>
          <w:sz w:val="20"/>
        </w:rPr>
        <w:t>during the twelve (12) months immediately preceding the event for which recovery from the Rights Agent is being sought. In no case, however, will the Rights Agent be liable for special, indirect, punitive, incidental or consequential losses, even if the Rights Agent has been advised of the possibility of such losses or damages.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Rights Agent shall not be under any liability or responsibility in respect of the validity of this Agreement or the execution and delivery hereof (except the due execution hereof by the Rights Agent) or in respect of the validity or execution of any Rights Certificate (except its countersignature thereof); nor shall it be liable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responsible for any breach by the Company of any covenant or condition contained in this Agreement or in any Rights Certificate; nor shall it be liable or responsible for any calculation required under </w:t>
      </w:r>
      <w:r>
        <w:rPr>
          <w:rFonts w:ascii="Times New Roman PS Std;serif" w:hAnsi="Times New Roman PS Std;serif"/>
          <w:b w:val="false"/>
          <w:i w:val="false"/>
          <w:caps w:val="false"/>
          <w:smallCaps w:val="false"/>
          <w:sz w:val="20"/>
          <w:u w:val="single"/>
        </w:rPr>
        <w:t>Section 7</w:t>
      </w:r>
      <w:r>
        <w:rPr>
          <w:caps w:val="false"/>
          <w:smallCaps w:val="false"/>
        </w:rPr>
        <w:t> </w:t>
      </w:r>
      <w:r>
        <w:rPr>
          <w:rFonts w:ascii="Times New Roman PS Std;serif" w:hAnsi="Times New Roman PS Std;serif"/>
          <w:b w:val="false"/>
          <w:i w:val="false"/>
          <w:caps w:val="false"/>
          <w:smallCaps w:val="false"/>
          <w:sz w:val="20"/>
        </w:rPr>
        <w:t>or responsible for the manner, method or amount of any such calculation or the ascertaining of the existence of facts required for any such calculation;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validly authorized and issued, fully paid and non-assessable.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performance by the Rights Agent of the provisions of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Rights Agent is hereby authorized and directed to accept instructions with respect to the performance of its duties hereunder from the Chief Executive Officer, President, Chief Financial Officer, General Counsel, Secretary or Treasurer of the Company, or any other authorized officer of the Company, and to apply to such authorized officers for advice or instructions in connection with its duties, and such instructions shall be full authorization to the Rights Agent, and the Rights Agent shall be fully authorized and incur no liability for or in respect of any action taken, suffered or omitted by it in good faith in accordance with instructions of any such authorized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authorized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authorized officer of the Company actually receives such application, unless any such authorized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director, Affiliate, officer or employee from acting in any other capacity for the Company or for any other Person.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Rights Agent may execute and exercise any of the rights or powers hereby vested in it or perform any duty hereunder either itself or by or through its attorneys or agents, and the Rights Agent shall not be answerable or accountable for any act, default or misconduct of any such attorneys or agents or for any loss to the Company resulting from any such act, default or misconduct, absent negligence, bad faith or willful misconduct of such attorney or agent (each as determined by a final non-appealable judgment, order, decree or ruling of a court of competent jurisdiction).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Rights Agent shall not be required to perform any action if such action would cause the Rights Agent to violate any applicable law, regulation or court order.</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Rights Agent shall not assume any obligations or relationship of agency or trust with any of the Existing Stockholders.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If, with respect to any Rights Certificate surrendered to the Rights Agent for exercise, the Notice of Redemption has not been completed, the Rights Agent shall not take any further action with respect to such requested exercise without first consulting with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15. </w:t>
      </w:r>
      <w:r>
        <w:rPr>
          <w:rFonts w:ascii="Times New Roman PS Std;serif" w:hAnsi="Times New Roman PS Std;serif"/>
          <w:b/>
          <w:i w:val="false"/>
          <w:caps w:val="false"/>
          <w:smallCaps w:val="false"/>
          <w:sz w:val="20"/>
          <w:u w:val="single"/>
        </w:rPr>
        <w:t>Concerning the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and reasonable fees and expenses incurred in enforcing its rights hereunder) incurred without gross negligence, bad faith or willful misconduct on the part of the Rights Agent (each as determined by a court of competent jurisdiction in a final, non-appealable decision) for any action taken, suffered or omitted to be taken by the Rights Agent in connection with the execution, acceptance, administration, exercise and performance of its duties under this Agreement, including the reasonable costs and expenses of defending against any claim of liability and the enforcement of its rights hereunder. The Rights Agent shall not be deemed to have any knowledge of any event of which it was entitled to receive notice under this Agreement, and the Rights Agent shall be fully protected and shall incur no liability for failing to take any action in connection therewith, unless and until it has received such notice in accordance with this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(b) 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representing Common Stock or other securities of the Company, instrument of assignment or transfer, power of attorney, endorsement, affidavit, letter, notice, direction, consent, certificate, statement or other paper or document reasonably believed by it to be genuine and to be duly signed, executed and, where necessary, guaranteed, verified or acknowledged by the proper Person or Persons, or otherwise upon the advice of counsel as set forth in </w:t>
      </w:r>
      <w:r>
        <w:rPr>
          <w:rFonts w:ascii="Times New Roman PS Std;serif" w:hAnsi="Times New Roman PS Std;serif"/>
          <w:b w:val="false"/>
          <w:i w:val="false"/>
          <w:caps w:val="false"/>
          <w:smallCaps w:val="false"/>
          <w:sz w:val="20"/>
          <w:u w:val="single"/>
        </w:rPr>
        <w:t>Section 14</w:t>
      </w:r>
      <w:r>
        <w:rPr>
          <w:rFonts w:ascii="Times New Roman PS Std;serif" w:hAnsi="Times New Roman PS Std;serif"/>
          <w:b w:val="false"/>
          <w:i w:val="false"/>
          <w:caps w:val="false"/>
          <w:smallCaps w:val="false"/>
          <w:sz w:val="20"/>
        </w:rPr>
        <w:t>. The Rights Agent may rely on and shall be held harmless by the Company in acting upon written (including electronically transmitted) instructions from the Company with respect to any matter related to its acting as Rights Agent.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(c) Notwithstanding anything in this Agreement to the contrary, in no case shall the Company be liable with respect to any action, proceeding, suit or claim against the Rights Agent unless, to the extent the Company is not also a party to such action, proceeding, suit or claim, the Rights Agent has notified the Company in accordance with </w:t>
      </w:r>
      <w:r>
        <w:rPr>
          <w:rFonts w:ascii="Times New Roman PS Std;serif" w:hAnsi="Times New Roman PS Std;serif"/>
          <w:b w:val="false"/>
          <w:i w:val="false"/>
          <w:caps w:val="false"/>
          <w:smallCaps w:val="false"/>
          <w:sz w:val="20"/>
          <w:u w:val="single"/>
        </w:rPr>
        <w:t>Section 20</w:t>
      </w:r>
      <w:r>
        <w:rPr>
          <w:caps w:val="false"/>
          <w:smallCaps w:val="false"/>
        </w:rPr>
        <w:t> </w:t>
      </w:r>
      <w:r>
        <w:rPr>
          <w:rFonts w:ascii="Times New Roman PS Std;serif" w:hAnsi="Times New Roman PS Std;serif"/>
          <w:b w:val="false"/>
          <w:i w:val="false"/>
          <w:caps w:val="false"/>
          <w:smallCaps w:val="false"/>
          <w:sz w:val="20"/>
        </w:rPr>
        <w:t>of the assertion of such action, proceeding, suit or claim against the Rights Agent, promptly after the Rights Agent has actual notice of such assertion of an action, proceeding, suit or claim or has been served with the summons or other legal process giving information as to the nature and basis of the action, proceeding, suit or claim; </w:t>
      </w:r>
      <w:r>
        <w:rPr>
          <w:rFonts w:ascii="Times New Roman PS Std;serif" w:hAnsi="Times New Roman PS Std;serif"/>
          <w:b w:val="false"/>
          <w:i w:val="false"/>
          <w:caps w:val="false"/>
          <w:smallCaps w:val="false"/>
          <w:sz w:val="20"/>
          <w:u w:val="single"/>
        </w:rPr>
        <w:t>provided</w:t>
      </w:r>
      <w:r>
        <w:rPr>
          <w:caps w:val="false"/>
          <w:smallCaps w:val="false"/>
        </w:rPr>
        <w:t> </w:t>
      </w:r>
      <w:r>
        <w:rPr>
          <w:rFonts w:ascii="Times New Roman PS Std;serif" w:hAnsi="Times New Roman PS Std;serif"/>
          <w:b w:val="false"/>
          <w:i w:val="false"/>
          <w:caps w:val="false"/>
          <w:smallCaps w:val="false"/>
          <w:sz w:val="20"/>
        </w:rPr>
        <w:t>that the failure to provide such notice promptly shall not affect the rights of the Rights Agent hereunder, except to the extent such failure actually prejudiced the Company. The Company shall be entitled to participate, at its own expense, in the defense of any such action, proceeding, suit or claim, and, if the Company so elects, the Company shall assume the defense of any such action, proceeding, suit or claim. In the event the Company assumes such defense, the Company shall not thereafter be liable for the fees and expenses of any counsel retained by the Rights Agent, so long as the Company retains counsel satisfactory to the Rights Agent, in the exercise of its reasonable judgment, to defend such action, proceeding, suit or claim, and so long as the Rights Agent does not have defenses that are adverse to any defenses of the Company.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(d) The provisions of </w:t>
      </w:r>
      <w:r>
        <w:rPr>
          <w:rFonts w:ascii="Times New Roman PS Std;serif" w:hAnsi="Times New Roman PS Std;serif"/>
          <w:b w:val="false"/>
          <w:i w:val="false"/>
          <w:caps w:val="false"/>
          <w:smallCaps w:val="false"/>
          <w:sz w:val="20"/>
          <w:u w:val="single"/>
        </w:rPr>
        <w:t>Section 14</w:t>
      </w:r>
      <w:r>
        <w:rPr>
          <w:caps w:val="false"/>
          <w:smallCaps w:val="false"/>
        </w:rPr>
        <w:t> </w:t>
      </w:r>
      <w:r>
        <w:rPr>
          <w:rFonts w:ascii="Times New Roman PS Std;serif" w:hAnsi="Times New Roman PS Std;serif"/>
          <w:b w:val="false"/>
          <w:i w:val="false"/>
          <w:caps w:val="false"/>
          <w:smallCaps w:val="false"/>
          <w:sz w:val="20"/>
        </w:rPr>
        <w:t>and this </w:t>
      </w:r>
      <w:r>
        <w:rPr>
          <w:rFonts w:ascii="Times New Roman PS Std;serif" w:hAnsi="Times New Roman PS Std;serif"/>
          <w:b w:val="false"/>
          <w:i w:val="false"/>
          <w:caps w:val="false"/>
          <w:smallCaps w:val="false"/>
          <w:sz w:val="20"/>
          <w:u w:val="single"/>
        </w:rPr>
        <w:t>Section 15</w:t>
      </w:r>
      <w:r>
        <w:rPr>
          <w:caps w:val="false"/>
          <w:smallCaps w:val="false"/>
        </w:rPr>
        <w:t> </w:t>
      </w:r>
      <w:r>
        <w:rPr>
          <w:rFonts w:ascii="Times New Roman PS Std;serif" w:hAnsi="Times New Roman PS Std;serif"/>
          <w:b w:val="false"/>
          <w:i w:val="false"/>
          <w:caps w:val="false"/>
          <w:smallCaps w:val="false"/>
          <w:sz w:val="20"/>
        </w:rPr>
        <w:t>shall survive the termination of this Agreement, the resignation, replacement or removal of the Rights Agent and the exercise, termination and expiration of the Rights.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16. </w:t>
      </w:r>
      <w:r>
        <w:rPr>
          <w:rFonts w:ascii="Times New Roman PS Std;serif" w:hAnsi="Times New Roman PS Std;serif"/>
          <w:b/>
          <w:i w:val="false"/>
          <w:caps w:val="false"/>
          <w:smallCaps w:val="false"/>
          <w:sz w:val="20"/>
          <w:u w:val="single"/>
        </w:rPr>
        <w:t>Change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Agent or any successor Rights Agent may resign and be discharged from its duties under this Agreement upon sixty (60) days’ notice to the Company (or such earlier notice period as the Company may request in writing in its sole discretion) and, if such resignation or discharge occurs after the Rights Distribution Date, to the Existing Stockholders. In the event that any transfer agency relationship in effect between the Company and the Rights Agent terminates, the Rights Agent will be deemed to have resigned automatically and be discharged from its duties under this Agreement as of the effective date of such termination. The Company may remove the Rights Agent or any successor Rights Agent upon no less than thirty (30) days’ notice to the Rights Agent or successor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Rights Agent, as the case may be, to the transfer agent of the Common Stock in accordance with Section 20 and, if such removal occurs after the Rights Distribution Date, to the Existing Stockholders.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Existing Stockholder (who shall, with such notice, submit such Existing Stockholder’s Rights Certificate for inspection by the Company), then any Existing Stockholder may apply to any court of competent jurisdiction for the appointment of a new Rights Agent. Any successor Rights Agent, whether appointed by the Company or by such a court, shall be (a) a Person (i) organized and doing business under the laws of the United States or of any state of the United States, (ii) in good standing and authorized to do business as a banking institution in such state or authorized under such laws to exercise corporate trust, stock transfer or stockholder services powers, (iii) subject to supervision or examination by federal or state authority and (iv) which has at the time of its appointment as Rights Agent a combined capital and surplus or net assets, on a consolidated basis, of at least $50,000,000 or (b) an Affiliate of such Person. After appointment, the successor Rights Agent shall be vested with the same powers, rights, duties and responsibilities as if it had been originally named as Rights Agent under this Agreement without further act or deed. Not later than the effective date of any such appointment, the Company shall file notice thereof in writing with the predecessor Rights Agent and each transfer agent of the Common Stock, and, if such appointment occurs after the Rights Distribution Date, mail a notice thereof in writing to the Existing Stockholders. Immediately following receipt of such notice, the predecessor Rights Agent shall deliver and transfer to the successor Rights Agent any property at the time held by it hereunder, and shall execute and deliver any further reasonable assurance, conveyance, act or deed necessary for that purpose. Failure to give any notice provided for in this </w:t>
      </w:r>
      <w:r>
        <w:rPr>
          <w:rFonts w:ascii="Times New Roman PS Std;serif" w:hAnsi="Times New Roman PS Std;serif"/>
          <w:b w:val="false"/>
          <w:i w:val="false"/>
          <w:caps w:val="false"/>
          <w:smallCaps w:val="false"/>
          <w:sz w:val="20"/>
          <w:u w:val="single"/>
        </w:rPr>
        <w:t>Section 16</w:t>
      </w:r>
      <w:r>
        <w:rPr>
          <w:caps w:val="false"/>
          <w:smallCaps w:val="false"/>
        </w:rPr>
        <w:t> </w:t>
      </w:r>
      <w:r>
        <w:rPr>
          <w:rFonts w:ascii="Times New Roman PS Std;serif" w:hAnsi="Times New Roman PS Std;serif"/>
          <w:b w:val="false"/>
          <w:i w:val="false"/>
          <w:caps w:val="false"/>
          <w:smallCaps w:val="false"/>
          <w:sz w:val="20"/>
        </w:rPr>
        <w:t>or any defect therein shall not affect the legality or validity of the resignation or removal of the Rights Agent or the appointment of the successor Rights Agent, as the case may be.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17. </w:t>
      </w:r>
      <w:r>
        <w:rPr>
          <w:rFonts w:ascii="Times New Roman PS Std;serif" w:hAnsi="Times New Roman PS Std;serif"/>
          <w:b/>
          <w:i w:val="false"/>
          <w:caps w:val="false"/>
          <w:smallCaps w:val="false"/>
          <w:sz w:val="20"/>
          <w:u w:val="single"/>
        </w:rPr>
        <w:t>Merger or Consolidation or Change of Name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Person would be eligible for appointment as a successor Rights Agent under </w:t>
      </w:r>
      <w:r>
        <w:rPr>
          <w:rFonts w:ascii="Times New Roman PS Std;serif" w:hAnsi="Times New Roman PS Std;serif"/>
          <w:b w:val="false"/>
          <w:i w:val="false"/>
          <w:caps w:val="false"/>
          <w:smallCaps w:val="false"/>
          <w:sz w:val="20"/>
          <w:u w:val="single"/>
        </w:rPr>
        <w:t>Section 16</w:t>
      </w:r>
      <w:r>
        <w:rPr>
          <w:rFonts w:ascii="Times New Roman PS Std;serif" w:hAnsi="Times New Roman PS Std;serif"/>
          <w:b w:val="false"/>
          <w:i w:val="false"/>
          <w:caps w:val="false"/>
          <w:smallCaps w:val="false"/>
          <w:sz w:val="20"/>
        </w:rPr>
        <w:t>. If,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if at such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at any time the name of the Rights Agent is changed, and at such time any of the Rights Certificates has been countersigned but not delivered, the Rights Agent may adopt the countersignature under its prior name and deliver Rights Certificates so countersigned, and if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18. </w:t>
      </w:r>
      <w:r>
        <w:rPr>
          <w:rFonts w:ascii="Times New Roman PS Std;serif" w:hAnsi="Times New Roman PS Std;serif"/>
          <w:b/>
          <w:i w:val="false"/>
          <w:caps w:val="false"/>
          <w:smallCaps w:val="false"/>
          <w:sz w:val="20"/>
          <w:u w:val="single"/>
        </w:rPr>
        <w:t>Determination and Action by the Board</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or a duly authorized committee 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Existing Stockholders and all other Persons and (ii) not subject the Board to any liability to the Existing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Notwithstanding anything herein to the contrary, in no event shall a determination of the Board that would reasonably be expected to adversely affect the rights of the Rights Agent under this Agreement be binding upon the Rights Agent without the written consent of the Rights Agent, in its sole discretion.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19. </w:t>
      </w:r>
      <w:r>
        <w:rPr>
          <w:rFonts w:ascii="Times New Roman PS Std;serif" w:hAnsi="Times New Roman PS Std;serif"/>
          <w:b/>
          <w:i w:val="false"/>
          <w:caps w:val="false"/>
          <w:smallCaps w:val="false"/>
          <w:sz w:val="20"/>
          <w:u w:val="single"/>
        </w:rPr>
        <w:t>Supplements and Amendments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Except as otherwise provided in this </w:t>
      </w:r>
      <w:r>
        <w:rPr>
          <w:rFonts w:ascii="Times New Roman PS Std;serif" w:hAnsi="Times New Roman PS Std;serif"/>
          <w:b w:val="false"/>
          <w:i w:val="false"/>
          <w:caps w:val="false"/>
          <w:smallCaps w:val="false"/>
          <w:sz w:val="20"/>
          <w:u w:val="single"/>
        </w:rPr>
        <w:t>Section 19</w:t>
      </w:r>
      <w:r>
        <w:rPr>
          <w:rFonts w:ascii="Times New Roman PS Std;serif" w:hAnsi="Times New Roman PS Std;serif"/>
          <w:b w:val="false"/>
          <w:i w:val="false"/>
          <w:caps w:val="false"/>
          <w:smallCaps w:val="false"/>
          <w:sz w:val="20"/>
        </w:rPr>
        <w:t>, the Company may, by action of the Board and in its sole and absolute discretion, and the Rights Agent shall, if the Company so directs, from time to time supplement or amend this Agreement in any respect without the approval of any Existing Stockholders (a) to make any changes that the Company may deem necessary or desirable that do not materially adversely affect the interests of the Existing Stockholders, (b) to cure any ambiguity or (c) to correct or supplement any provision contained herein that may be inconsistent with any other provision herein, including any change in order to satisfy any applicable law, rule or regulation. No supplement or amendment to this Agreement shall be effective unless duly executed by the Rights Agent and the Company. The Rights Agent shall duly execute and deliver any supplement or amendment hereto requested by the Company in writing; </w:t>
      </w:r>
      <w:r>
        <w:rPr>
          <w:rFonts w:ascii="Times New Roman PS Std;serif" w:hAnsi="Times New Roman PS Std;serif"/>
          <w:b w:val="false"/>
          <w:i w:val="false"/>
          <w:caps w:val="false"/>
          <w:smallCaps w:val="false"/>
          <w:sz w:val="20"/>
          <w:u w:val="single"/>
        </w:rPr>
        <w:t>provided</w:t>
      </w:r>
      <w:r>
        <w:rPr>
          <w:caps w:val="false"/>
          <w:smallCaps w:val="false"/>
        </w:rPr>
        <w:t> </w:t>
      </w:r>
      <w:r>
        <w:rPr>
          <w:rFonts w:ascii="Times New Roman PS Std;serif" w:hAnsi="Times New Roman PS Std;serif"/>
          <w:b w:val="false"/>
          <w:i w:val="false"/>
          <w:caps w:val="false"/>
          <w:smallCaps w:val="false"/>
          <w:sz w:val="20"/>
        </w:rPr>
        <w:t>that the Company has delivered to the Rights Agent a certificate from the Chief Executive Officer, President, Chief Financial Officer, General Counsel, Secretary or Treasurer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20. </w:t>
      </w:r>
      <w:r>
        <w:rPr>
          <w:rFonts w:ascii="Times New Roman PS Std;serif" w:hAnsi="Times New Roman PS Std;serif"/>
          <w:b/>
          <w:i w:val="false"/>
          <w:caps w:val="false"/>
          <w:smallCaps w:val="false"/>
          <w:sz w:val="20"/>
          <w:u w:val="single"/>
        </w:rPr>
        <w:t>Notices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or demands authorized by this Agreement to be given or made by the Rights Agent or by any Existing Stockholder to or on the Company shall be sufficiently given or made if in writing and sent by first-class or express United States mail, FedEx or United Parcel Service or any other nationally recognized courier service, postage prepaid, or by email, addressed (until another address is filed in writing with the Rights Agent) as follows:</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Scott Glassman</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631-968-5000</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Scott.Glassman@airindustriesgroup.com</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Section 16, any notice or demand authorized by this Agreement to be given or made by the Company or by any Existing Stockholder to or on the Rights Agent shall be sufficiently given or made if in writing and sent by first-class or express United States mail, FedEx or United Parcel Service or any other nationally recognized courier service, postage prepaid, or by email, addressed (until another address is filed in writing with the Company) as follows:</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1342</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Brentwood, New York 11717</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Corporate Actions Department</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 Mercedes Way</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Edgewood, New York 11717</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Financial Solutions, Inc.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Gateway Center</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Newark, New Jersey 07102</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General Counsel</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legalnotices@broadridge.com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or demands authorized by this Agreement to be given or made by the Company or the Rights Agent to any Existing Stockholder shall be sufficiently given or made if in writing and sent by first-class or express United States mail, FedEx or United Parcel Service or any other nationally recognized courier service, postage prepaid, addressed to such Existing Stockholder at the address of such Existing Stockholder as shown on the registry books of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notice which is mailed in the manner herein provided shall be deemed given, whether or not the intended recipient receives such notice.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21. </w:t>
      </w:r>
      <w:r>
        <w:rPr>
          <w:rFonts w:ascii="Times New Roman PS Std;serif" w:hAnsi="Times New Roman PS Std;serif"/>
          <w:b/>
          <w:i w:val="false"/>
          <w:caps w:val="false"/>
          <w:smallCaps w:val="false"/>
          <w:sz w:val="20"/>
          <w:u w:val="single"/>
        </w:rPr>
        <w:t>Beneficiaries of this Agreement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Nothing in this Agreement shall be construed to give to any Person other than the Company, the Rights Agent and the Existing Stockholders any legal or equitable right, remedy or claim under this Agreement, but this Agreement shall be for the sole and exclusive benefit of the Company, the Rights Agent and the Existing Stockholders;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Existing Stockholders must enforce any such legal or equitable right, remedy or claim under this Agreement against the Company and not against the Rights Agent.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22. </w:t>
      </w:r>
      <w:r>
        <w:rPr>
          <w:rFonts w:ascii="Times New Roman PS Std;serif" w:hAnsi="Times New Roman PS Std;serif"/>
          <w:b/>
          <w:i w:val="false"/>
          <w:caps w:val="false"/>
          <w:smallCaps w:val="false"/>
          <w:sz w:val="20"/>
          <w:u w:val="single"/>
        </w:rPr>
        <w:t>Successors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the covenants and provisions of this Agreement by or for the benefit of the Company or the Rights Agent shall bind and inure to the benefit of their respective successors and assigns hereunder.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23. </w:t>
      </w:r>
      <w:r>
        <w:rPr>
          <w:rFonts w:ascii="Times New Roman PS Std;serif" w:hAnsi="Times New Roman PS Std;serif"/>
          <w:b/>
          <w:i w:val="false"/>
          <w:caps w:val="false"/>
          <w:smallCaps w:val="false"/>
          <w:sz w:val="20"/>
          <w:u w:val="single"/>
        </w:rPr>
        <w:t>Severability</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If any term, provision, covenant or restriction of this Agreement or the Rights Certificates is held by a court of competent jurisdiction or other authority to be invalid, void or unenforceable, the remainder of the terms, provisions, covenants and restrictions of this Agreement and the Rights Certificates shall remain in full force and effect and shall in no way be affected, impaired or invalidated;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Certificates would adversely affect the purpose or effect of this Agreement, the right of redemption set forth in </w:t>
      </w:r>
      <w:r>
        <w:rPr>
          <w:rFonts w:ascii="Times New Roman PS Std;serif" w:hAnsi="Times New Roman PS Std;serif"/>
          <w:b w:val="false"/>
          <w:i w:val="false"/>
          <w:caps w:val="false"/>
          <w:smallCaps w:val="false"/>
          <w:sz w:val="20"/>
          <w:u w:val="single"/>
        </w:rPr>
        <w:t>Section 8</w:t>
      </w:r>
      <w:r>
        <w:rPr>
          <w:caps w:val="false"/>
          <w:smallCaps w:val="false"/>
        </w:rPr>
        <w:t> </w:t>
      </w:r>
      <w:r>
        <w:rPr>
          <w:rFonts w:ascii="Times New Roman PS Std;serif" w:hAnsi="Times New Roman PS Std;serif"/>
          <w:b w:val="false"/>
          <w:i w:val="false"/>
          <w:caps w:val="false"/>
          <w:smallCaps w:val="false"/>
          <w:sz w:val="20"/>
        </w:rPr>
        <w:t>shall be reinstated and shall not expire until the Close of Business on the tenth (10</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xml:space="preserve">) day following the date of such determination by the Board;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if any such excluded term, provision, covenant or restriction shall adversely affect the rights, immunities, duties or obligations of the Rights Agent, the Rights Agent shall be entitled to resign immediately upon written notice to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24. </w:t>
      </w:r>
      <w:r>
        <w:rPr>
          <w:rFonts w:ascii="Times New Roman PS Std;serif" w:hAnsi="Times New Roman PS Std;serif"/>
          <w:b/>
          <w:i w:val="false"/>
          <w:caps w:val="false"/>
          <w:smallCaps w:val="false"/>
          <w:sz w:val="20"/>
          <w:u w:val="single"/>
        </w:rPr>
        <w:t>Governing Law; Submission to Jurisdiction; Waiver of Jury Trial</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This Agreement, each Right and each Rights Certificate issued hereunder shall be deemed to be a contract made under the laws of the State of Nevada and for all purposes shall be governed by and construed in accordance with the laws of the State of Nevada applicable to contracts made and to be performed entirely within the State of Nevada. The Company and the Rights Agent hereby irrevocably submit to the exclusive jurisdiction of the Eighth Judicial District Court of the State of Nevada located in Clark County, Nevada, or, if such court lacks subject matter jurisdiction, the United States District Court for the District of Nevada, over any suit, action or proceeding arising out of or relating to this Agreement. The Company and the Rights Agent acknowledge that the forum designated by this </w:t>
      </w:r>
      <w:r>
        <w:rPr>
          <w:rFonts w:ascii="Times New Roman PS Std;serif" w:hAnsi="Times New Roman PS Std;serif"/>
          <w:b w:val="false"/>
          <w:i w:val="false"/>
          <w:caps w:val="false"/>
          <w:smallCaps w:val="false"/>
          <w:sz w:val="20"/>
          <w:u w:val="single"/>
        </w:rPr>
        <w:t>Section 24</w:t>
      </w:r>
      <w:r>
        <w:rPr>
          <w:caps w:val="false"/>
          <w:smallCaps w:val="false"/>
        </w:rPr>
        <w:t> </w:t>
      </w:r>
      <w:r>
        <w:rPr>
          <w:rFonts w:ascii="Times New Roman PS Std;serif" w:hAnsi="Times New Roman PS Std;serif"/>
          <w:b w:val="false"/>
          <w:i w:val="false"/>
          <w:caps w:val="false"/>
          <w:smallCaps w:val="false"/>
          <w:sz w:val="20"/>
        </w:rPr>
        <w:t>has a reasonable relation to this Agreement and to such Persons’ relationship with one another. The Company and the Rights Agent hereby waive, to the fullest extent permitted by applicable law, any objection which they now or hereafter have to personal jurisdiction or to the laying of venue of any such suit, action or proceeding brought in any court referred to in this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The Company and the Rights Agent undertake not to commence any action subject to this Agreement in any forum other than the forum described in this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The Company and the Rights Agent agree that, to the fullest extent permitted by applicable law, a final and non-appealable judgment in any such suit, action or proceeding brought in any such court shall be conclusive and binding upon such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w:t>
      </w:r>
      <w:r>
        <w:rPr>
          <w:rFonts w:ascii="Times New Roman PS Std;serif" w:hAnsi="Times New Roman PS Std;serif"/>
          <w:b w:val="false"/>
          <w:i w:val="false"/>
          <w:caps w:val="false"/>
          <w:smallCaps w:val="false"/>
          <w:sz w:val="20"/>
          <w:u w:val="single"/>
        </w:rPr>
        <w:t>SECTION 24(b)</w:t>
      </w:r>
      <w:r>
        <w:rPr>
          <w:rFonts w:ascii="Times New Roman PS Std;serif" w:hAnsi="Times New Roman PS Std;serif"/>
          <w:b w:val="false"/>
          <w:i w:val="false"/>
          <w:caps w:val="false"/>
          <w:smallCaps w:val="false"/>
          <w:sz w:val="20"/>
        </w:rPr>
        <w:t xml:space="preserve">. EVERY HOLDER OF A RIGHT, BY ACCEPTING SUCH RIGHT, IS DEEMED TO HAVE AGREED TO THE WAIVERS IN THIS </w:t>
      </w:r>
      <w:r>
        <w:rPr>
          <w:rFonts w:ascii="Times New Roman PS Std;serif" w:hAnsi="Times New Roman PS Std;serif"/>
          <w:b w:val="false"/>
          <w:i w:val="false"/>
          <w:caps w:val="false"/>
          <w:smallCaps w:val="false"/>
          <w:sz w:val="20"/>
          <w:u w:val="single"/>
        </w:rPr>
        <w:t>SECTION 24(b)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25. </w:t>
      </w:r>
      <w:r>
        <w:rPr>
          <w:rFonts w:ascii="Times New Roman PS Std;serif" w:hAnsi="Times New Roman PS Std;serif"/>
          <w:b/>
          <w:i w:val="false"/>
          <w:caps w:val="false"/>
          <w:smallCaps w:val="false"/>
          <w:sz w:val="20"/>
          <w:u w:val="single"/>
        </w:rPr>
        <w:t>Counterparts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Agreement may be executed in any number of counterparts and 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“pdf”) shall be as effective as delivery of a manually executed counterpart 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26. </w:t>
      </w:r>
      <w:r>
        <w:rPr>
          <w:rFonts w:ascii="Times New Roman PS Std;serif" w:hAnsi="Times New Roman PS Std;serif"/>
          <w:b/>
          <w:i w:val="false"/>
          <w:caps w:val="false"/>
          <w:smallCaps w:val="false"/>
          <w:sz w:val="20"/>
          <w:u w:val="single"/>
        </w:rPr>
        <w:t>Descriptive Headings; Interpretation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Each reference in this Agreement to a period of time following or after a specified date or event shall be calculated without including such specified date or the day on which such specified event occurs.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27. </w:t>
      </w:r>
      <w:r>
        <w:rPr>
          <w:rFonts w:ascii="Times New Roman PS Std;serif" w:hAnsi="Times New Roman PS Std;serif"/>
          <w:b/>
          <w:i w:val="false"/>
          <w:caps w:val="false"/>
          <w:smallCaps w:val="false"/>
          <w:sz w:val="20"/>
          <w:u w:val="single"/>
        </w:rPr>
        <w:t>Force Majeure</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anything to the contrary contained herein, the Rights Agent will not have any liability for not performing, or for a delay in the performance of, any act, duty, obligation or responsibility by reason of any occurrence beyond the reasonable control of the Rights Agent (including acts of God, terrorist acts, supply shortages, breakdowns, interruptions or malfunctions of computer facilities, loss of data due to power failures, mechanical difficulties with information storage or retrieval systems, labor difficulties, war and civil unrest).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28. </w:t>
      </w:r>
      <w:r>
        <w:rPr>
          <w:rFonts w:ascii="Times New Roman PS Std;serif" w:hAnsi="Times New Roman PS Std;serif"/>
          <w:b/>
          <w:i w:val="false"/>
          <w:caps w:val="false"/>
          <w:smallCaps w:val="false"/>
          <w:sz w:val="20"/>
          <w:u w:val="single"/>
        </w:rPr>
        <w:t>Termination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This Agreement shall automatically terminate and be of no further force or effect and shall be deemed satisfied and discharged, and the parties hereto shall have no liability hereunder (other than with respect to the rights, powers and immunities of the Rights Agent, and the Company’s obligations in connection therewith) on the date that is five Business Days after the Expiration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all disputes with respect to amounts payable to the Existing Stockholders brought pursuant to the terms and conditions of this Agreement have been resolved, and the Company has paid or caused to be paid or deposited with the Rights Agent all amounts payable to the Existing Stockholders under this Agreement. Notwithstanding the satisfaction and discharge of this Agreement, the provisions of </w:t>
      </w:r>
      <w:r>
        <w:rPr>
          <w:rFonts w:ascii="Times New Roman PS Std;serif" w:hAnsi="Times New Roman PS Std;serif"/>
          <w:b w:val="false"/>
          <w:i w:val="false"/>
          <w:caps w:val="false"/>
          <w:smallCaps w:val="false"/>
          <w:sz w:val="20"/>
          <w:u w:val="single"/>
        </w:rPr>
        <w:t>Section 14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15</w:t>
      </w:r>
      <w:r>
        <w:rPr>
          <w:caps w:val="false"/>
          <w:smallCaps w:val="false"/>
        </w:rPr>
        <w:t xml:space="preserve"> </w:t>
      </w:r>
      <w:r>
        <w:rPr>
          <w:rFonts w:ascii="Times New Roman PS Std;serif" w:hAnsi="Times New Roman PS Std;serif"/>
          <w:b w:val="false"/>
          <w:i w:val="false"/>
          <w:caps w:val="false"/>
          <w:smallCaps w:val="false"/>
          <w:sz w:val="20"/>
        </w:rPr>
        <w:t>shall survive.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29. </w:t>
      </w:r>
      <w:r>
        <w:rPr>
          <w:rFonts w:ascii="Times New Roman PS Std;serif" w:hAnsi="Times New Roman PS Std;serif"/>
          <w:b/>
          <w:i w:val="false"/>
          <w:caps w:val="false"/>
          <w:smallCaps w:val="false"/>
          <w:sz w:val="20"/>
          <w:u w:val="single"/>
        </w:rPr>
        <w:t>Securities Act Exemption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Rights are being distributed to the Existing Stockholders as a dividend in a transaction that the Company believes is exempt from the registration requirements of the Securities Act of 1933, as amended (the “</w:t>
      </w:r>
      <w:r>
        <w:rPr>
          <w:rFonts w:ascii="Times New Roman PS Std;serif" w:hAnsi="Times New Roman PS Std;serif"/>
          <w:b/>
          <w:i/>
          <w:sz w:val="20"/>
        </w:rPr>
        <w:t>Securities Act</w:t>
      </w:r>
      <w:r>
        <w:rPr>
          <w:caps w:val="false"/>
          <w:smallCaps w:val="false"/>
        </w:rPr>
        <w:t>”</w:t>
      </w:r>
      <w:r>
        <w:rPr>
          <w:rFonts w:ascii="Times New Roman PS Std;serif" w:hAnsi="Times New Roman PS Std;serif"/>
          <w:b w:val="false"/>
          <w:i w:val="false"/>
          <w:caps w:val="false"/>
          <w:smallCaps w:val="false"/>
          <w:sz w:val="20"/>
        </w:rPr>
        <w:t>), pursuant to Section 3(a)(9) thereof or another available exemption. The Company shall not take any action, and shall not permit any of its Subsidiaries or Affiliates to take any action, that would cause the distribution of the Rights or the issuance of shares of Common Stock upon exercise thereof to require registration under the Securities Act. The Rights Agent shall have no obligation to verify or confirm whether the distribution of the Rights complies with the Securities Act or any applicable state securities laws.</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IN WITNESS WHEREOF,</w:t>
      </w:r>
      <w:r>
        <w:rPr>
          <w:caps w:val="false"/>
          <w:smallCaps w:val="false"/>
        </w:rPr>
        <w:t> </w:t>
      </w:r>
      <w:r>
        <w:rPr>
          <w:rFonts w:ascii="Times New Roman PS Std;serif" w:hAnsi="Times New Roman PS Std;serif"/>
          <w:b w:val="false"/>
          <w:i w:val="false"/>
          <w:caps w:val="false"/>
          <w:smallCaps w:val="false"/>
          <w:sz w:val="20"/>
        </w:rPr>
        <w:t>the parties hereto have caused this Agreement to be duly executed as of the day and year first above written.</w:t>
      </w:r>
    </w:p>
    <w:tbl>
      <w:tblPr>
        <w:tblW w:w="6331" w:type="dxa"/>
        <w:jc w:val="left"/>
        <w:tblInd w:w="0" w:type="dxa"/>
        <w:tblLayout w:type="fixed"/>
        <w:tblCellMar>
          <w:top w:w="0" w:type="dxa"/>
          <w:left w:w="0" w:type="dxa"/>
          <w:bottom w:w="0" w:type="dxa"/>
          <w:right w:w="0" w:type="dxa"/>
        </w:tblCellMar>
      </w:tblPr>
      <w:tblGrid>
        <w:gridCol w:w="859"/>
        <w:gridCol w:w="333"/>
        <w:gridCol w:w="1582"/>
        <w:gridCol w:w="146"/>
        <w:gridCol w:w="146"/>
        <w:gridCol w:w="146"/>
        <w:gridCol w:w="904"/>
        <w:gridCol w:w="365"/>
        <w:gridCol w:w="1850"/>
      </w:tblGrid>
      <w:tr>
        <w:trPr/>
        <w:tc>
          <w:tcPr>
            <w:tcW w:w="2774" w:type="dxa"/>
            <w:gridSpan w:val="3"/>
            <w:tcBorders/>
            <w:vAlign w:val="bottom"/>
          </w:tcPr>
          <w:p>
            <w:pPr>
              <w:pStyle w:val="TableContents"/>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19" w:type="dxa"/>
            <w:gridSpan w:val="3"/>
            <w:tcBorders/>
            <w:vAlign w:val="bottom"/>
          </w:tcPr>
          <w:p>
            <w:pPr>
              <w:pStyle w:val="TableContents"/>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BROADRIDGE CORPORATE </w:t>
              <w:br/>
              <w:t>ISSUER SOLUTIONS, LLC</w:t>
            </w:r>
          </w:p>
        </w:tc>
      </w:tr>
      <w:tr>
        <w:trPr/>
        <w:tc>
          <w:tcPr>
            <w:tcW w:w="85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left"/>
              <w:rPr/>
            </w:pPr>
            <w:r>
              <w:rPr/>
              <w:t> </w:t>
            </w:r>
          </w:p>
        </w:tc>
      </w:tr>
      <w:tr>
        <w:trPr/>
        <w:tc>
          <w:tcPr>
            <w:tcW w:w="859"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33" w:type="dxa"/>
            <w:tcBorders/>
            <w:vAlign w:val="bottom"/>
          </w:tcPr>
          <w:p>
            <w:pPr>
              <w:pStyle w:val="TableContents"/>
              <w:bidi w:val="0"/>
              <w:spacing w:before="0" w:after="283"/>
              <w:jc w:val="left"/>
              <w:rPr/>
            </w:pPr>
            <w:r>
              <w:rPr/>
              <w:t> </w:t>
            </w:r>
          </w:p>
        </w:tc>
        <w:tc>
          <w:tcPr>
            <w:tcW w:w="1582"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65" w:type="dxa"/>
            <w:tcBorders/>
            <w:vAlign w:val="bottom"/>
          </w:tcPr>
          <w:p>
            <w:pPr>
              <w:pStyle w:val="TableContents"/>
              <w:bidi w:val="0"/>
              <w:spacing w:before="0" w:after="283"/>
              <w:jc w:val="left"/>
              <w:rPr/>
            </w:pPr>
            <w:r>
              <w:rPr/>
              <w:t> </w:t>
            </w:r>
          </w:p>
        </w:tc>
        <w:tc>
          <w:tcPr>
            <w:tcW w:w="1850"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85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82"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50"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85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82"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50"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RIGHTS TO REDEEM COMMON STOCK</w:t>
      </w:r>
    </w:p>
    <w:p>
      <w:pPr>
        <w:pStyle w:val="TextBody"/>
        <w:widowControl/>
        <w:pBdr/>
        <w:bidi w:val="0"/>
        <w:spacing w:before="160" w:after="283"/>
        <w:jc w:val="left"/>
        <w:rPr/>
      </w:pPr>
      <w:r>
        <w:rPr>
          <w:rFonts w:ascii="Times New Roman PS Std;serif" w:hAnsi="Times New Roman PS Std;serif"/>
          <w:b w:val="false"/>
          <w:i/>
          <w:sz w:val="20"/>
        </w:rPr>
        <w:t>Set forth below is a summary of the material terms and conditions of the rights granted to certain shareholders of Air Industries Group, a Nevada corporation (the “</w:t>
      </w:r>
      <w:r>
        <w:rPr>
          <w:rFonts w:ascii="Times New Roman PS Std;serif" w:hAnsi="Times New Roman PS Std;serif"/>
          <w:b/>
          <w:i/>
          <w:sz w:val="20"/>
        </w:rPr>
        <w:t>Company</w:t>
      </w:r>
      <w:r>
        <w:rPr/>
        <w:t>”</w:t>
      </w:r>
      <w:r>
        <w:rPr>
          <w:rFonts w:ascii="Times New Roman PS Std;serif" w:hAnsi="Times New Roman PS Std;serif"/>
          <w:b w:val="false"/>
          <w:i/>
          <w:sz w:val="20"/>
        </w:rPr>
        <w:t>), to cause the Company to redeem certain shares of the common stock of the Company (the “</w:t>
      </w:r>
      <w:r>
        <w:rPr>
          <w:rFonts w:ascii="Times New Roman PS Std;serif" w:hAnsi="Times New Roman PS Std;serif"/>
          <w:b/>
          <w:i/>
          <w:sz w:val="20"/>
        </w:rPr>
        <w:t>Common Stock</w:t>
      </w:r>
      <w:r>
        <w:rPr/>
        <w:t>”</w:t>
      </w:r>
      <w:r>
        <w:rPr>
          <w:rFonts w:ascii="Times New Roman PS Std;serif" w:hAnsi="Times New Roman PS Std;serif"/>
          <w:b w:val="false"/>
          <w:i/>
          <w:sz w:val="20"/>
        </w:rPr>
        <w:t>) in accordance with the Redemption Rights Agreement, dated as of [*], 2026 (as amended from time to time in accordance with its terms, the “</w:t>
      </w:r>
      <w:r>
        <w:rPr>
          <w:rFonts w:ascii="Times New Roman PS Std;serif" w:hAnsi="Times New Roman PS Std;serif"/>
          <w:b/>
          <w:i/>
          <w:sz w:val="20"/>
        </w:rPr>
        <w:t>Rights Agreement</w:t>
      </w:r>
      <w:r>
        <w:rPr/>
        <w:t>”</w:t>
      </w:r>
      <w:r>
        <w:rPr>
          <w:rFonts w:ascii="Times New Roman PS Std;serif" w:hAnsi="Times New Roman PS Std;serif"/>
          <w:b w:val="false"/>
          <w:i/>
          <w:sz w:val="20"/>
        </w:rPr>
        <w:t>), by and between the Company and Broadridge Corporate Issuer Solutions, LLC, as rights agent (and any successor rights agent, the “</w:t>
      </w:r>
      <w:r>
        <w:rPr>
          <w:rFonts w:ascii="Times New Roman PS Std;serif" w:hAnsi="Times New Roman PS Std;serif"/>
          <w:b/>
          <w:i/>
          <w:sz w:val="20"/>
        </w:rPr>
        <w:t>Rights Agent</w:t>
      </w:r>
      <w:r>
        <w:rPr/>
        <w:t>”</w:t>
      </w:r>
      <w:r>
        <w:rPr>
          <w:rFonts w:ascii="Times New Roman PS Std;serif" w:hAnsi="Times New Roman PS Std;serif"/>
          <w:b w:val="false"/>
          <w:i/>
          <w:sz w:val="20"/>
        </w:rPr>
        <w:t>). Capitalized terms used but not defined herein shall have the meanings set forth in the Rights Agreement.</w:t>
      </w:r>
    </w:p>
    <w:p>
      <w:pPr>
        <w:pStyle w:val="TextBody"/>
        <w:widowControl/>
        <w:pBdr/>
        <w:bidi w:val="0"/>
        <w:spacing w:before="160" w:after="283"/>
        <w:jc w:val="left"/>
        <w:rPr/>
      </w:pPr>
      <w:r>
        <w:rPr>
          <w:rFonts w:ascii="Times New Roman PS Std;serif" w:hAnsi="Times New Roman PS Std;serif"/>
          <w:b/>
          <w:i/>
          <w:sz w:val="20"/>
        </w:rPr>
        <w:t xml:space="preserve">Redemption Rights. </w:t>
      </w:r>
      <w:r>
        <w:rPr>
          <w:rFonts w:ascii="Times New Roman PS Std;serif" w:hAnsi="Times New Roman PS Std;serif"/>
          <w:b w:val="false"/>
          <w:i w:val="false"/>
          <w:caps w:val="false"/>
          <w:smallCaps w:val="false"/>
          <w:sz w:val="20"/>
        </w:rPr>
        <w:t>The Company has granted each beneficial owner (an “</w:t>
      </w:r>
      <w:r>
        <w:rPr>
          <w:rFonts w:ascii="Times New Roman PS Std;serif" w:hAnsi="Times New Roman PS Std;serif"/>
          <w:b/>
          <w:i/>
          <w:sz w:val="20"/>
        </w:rPr>
        <w:t>Existing Stockholder</w:t>
      </w:r>
      <w:r>
        <w:rPr>
          <w:caps w:val="false"/>
          <w:smallCaps w:val="false"/>
        </w:rPr>
        <w:t>”</w:t>
      </w:r>
      <w:r>
        <w:rPr>
          <w:rFonts w:ascii="Times New Roman PS Std;serif" w:hAnsi="Times New Roman PS Std;serif"/>
          <w:b w:val="false"/>
          <w:i w:val="false"/>
          <w:caps w:val="false"/>
          <w:smallCaps w:val="false"/>
          <w:sz w:val="20"/>
        </w:rPr>
        <w:t>) of shares of Common Stock as of the Close of Business on the Trading Day immediately prior to the date of the Closing of the Merger (the “</w:t>
      </w:r>
      <w:r>
        <w:rPr>
          <w:rFonts w:ascii="Times New Roman PS Std;serif" w:hAnsi="Times New Roman PS Std;serif"/>
          <w:b/>
          <w:i/>
          <w:sz w:val="20"/>
        </w:rPr>
        <w:t>Record Date</w:t>
      </w:r>
      <w:r>
        <w:rPr>
          <w:caps w:val="false"/>
          <w:smallCaps w:val="false"/>
        </w:rPr>
        <w:t>”</w:t>
      </w:r>
      <w:r>
        <w:rPr>
          <w:rFonts w:ascii="Times New Roman PS Std;serif" w:hAnsi="Times New Roman PS Std;serif"/>
          <w:b w:val="false"/>
          <w:i w:val="false"/>
          <w:caps w:val="false"/>
          <w:smallCaps w:val="false"/>
          <w:sz w:val="20"/>
        </w:rPr>
        <w:t>) a right to require the Company to purchase such shares of Common Stock for cash (a “</w:t>
      </w:r>
      <w:r>
        <w:rPr>
          <w:rFonts w:ascii="Times New Roman PS Std;serif" w:hAnsi="Times New Roman PS Std;serif"/>
          <w:b/>
          <w:i/>
          <w:sz w:val="20"/>
        </w:rPr>
        <w:t>Right</w:t>
      </w:r>
      <w:r>
        <w:rPr>
          <w:caps w:val="false"/>
          <w:smallCaps w:val="false"/>
        </w:rPr>
        <w:t>”</w:t>
      </w:r>
      <w:r>
        <w:rPr>
          <w:rFonts w:ascii="Times New Roman PS Std;serif" w:hAnsi="Times New Roman PS Std;serif"/>
          <w:b w:val="false"/>
          <w:i w:val="false"/>
          <w:caps w:val="false"/>
          <w:smallCaps w:val="false"/>
          <w:sz w:val="20"/>
        </w:rPr>
        <w:t>). The Company has granted these Rights by means of a dividend declared by the Company’s Board immediately prior to the Closing, with each Existing Stockholder receiving one Right for each share of Common Stock owned as of the Close of Business on the Record Date. Such Rights shall be represented by Rights Certificates substantially in the form attached as Exhibit B to the Rights Agreement.</w:t>
      </w:r>
    </w:p>
    <w:p>
      <w:pPr>
        <w:pStyle w:val="TextBody"/>
        <w:widowControl/>
        <w:pBdr/>
        <w:bidi w:val="0"/>
        <w:spacing w:before="160" w:after="283"/>
        <w:jc w:val="left"/>
        <w:rPr/>
      </w:pPr>
      <w:r>
        <w:rPr>
          <w:rFonts w:ascii="Times New Roman PS Std;serif" w:hAnsi="Times New Roman PS Std;serif"/>
          <w:b/>
          <w:i/>
          <w:sz w:val="20"/>
        </w:rPr>
        <w:t xml:space="preserve">Redemption Period. </w:t>
      </w:r>
      <w:r>
        <w:rPr>
          <w:rFonts w:ascii="Times New Roman PS Std;serif" w:hAnsi="Times New Roman PS Std;serif"/>
          <w:b w:val="false"/>
          <w:i w:val="false"/>
          <w:caps w:val="false"/>
          <w:smallCaps w:val="false"/>
          <w:sz w:val="20"/>
        </w:rPr>
        <w:t>Subject to the conditions set forth below,</w:t>
      </w:r>
      <w:r>
        <w:rPr/>
        <w:t xml:space="preserve"> </w:t>
      </w:r>
      <w:r>
        <w:rPr>
          <w:rFonts w:ascii="Times New Roman PS Std;serif" w:hAnsi="Times New Roman PS Std;serif"/>
          <w:b w:val="false"/>
          <w:i w:val="false"/>
          <w:caps w:val="false"/>
          <w:smallCaps w:val="false"/>
          <w:sz w:val="20"/>
        </w:rPr>
        <w:t>Existing Stockholders may exercise their Rights during the 10 Trading Days following the first anniversary of the Closing. Any Rights not exercised prior to the expiration of the Redemption Period shall automatically terminate and be of no further force or effect.</w:t>
      </w:r>
    </w:p>
    <w:p>
      <w:pPr>
        <w:pStyle w:val="TextBody"/>
        <w:widowControl/>
        <w:pBdr/>
        <w:bidi w:val="0"/>
        <w:spacing w:before="160" w:after="283"/>
        <w:jc w:val="left"/>
        <w:rPr/>
      </w:pPr>
      <w:r>
        <w:rPr>
          <w:rFonts w:ascii="Times New Roman PS Std;serif" w:hAnsi="Times New Roman PS Std;serif"/>
          <w:b/>
          <w:i/>
          <w:sz w:val="20"/>
        </w:rPr>
        <w:t xml:space="preserve">Redemption Price. </w:t>
      </w:r>
      <w:r>
        <w:rPr>
          <w:rFonts w:ascii="Times New Roman PS Std;serif" w:hAnsi="Times New Roman PS Std;serif"/>
          <w:b w:val="false"/>
          <w:i w:val="false"/>
          <w:caps w:val="false"/>
          <w:smallCaps w:val="false"/>
          <w:sz w:val="20"/>
        </w:rPr>
        <w:t>The Redemption Price will be $[*]</w:t>
      </w:r>
      <w:r>
        <w:rPr>
          <w:rFonts w:ascii="Times New Roman PS Std;serif" w:hAnsi="Times New Roman PS Std;serif"/>
          <w:b w:val="false"/>
          <w:i w:val="false"/>
          <w:caps w:val="false"/>
          <w:smallCaps w:val="false"/>
          <w:sz w:val="12"/>
        </w:rPr>
        <w:t>3</w:t>
      </w:r>
      <w:r>
        <w:rPr>
          <w:caps w:val="false"/>
          <w:smallCaps w:val="false"/>
        </w:rPr>
        <w:t xml:space="preserve"> </w:t>
      </w:r>
      <w:r>
        <w:rPr>
          <w:rFonts w:ascii="Times New Roman PS Std;serif" w:hAnsi="Times New Roman PS Std;serif"/>
          <w:b w:val="false"/>
          <w:i w:val="false"/>
          <w:caps w:val="false"/>
          <w:smallCaps w:val="false"/>
          <w:sz w:val="20"/>
        </w:rPr>
        <w:t>per share.</w:t>
      </w:r>
    </w:p>
    <w:p>
      <w:pPr>
        <w:pStyle w:val="TextBody"/>
        <w:widowControl/>
        <w:pBdr/>
        <w:bidi w:val="0"/>
        <w:spacing w:before="160" w:after="283"/>
        <w:jc w:val="left"/>
        <w:rPr/>
      </w:pPr>
      <w:r>
        <w:rPr>
          <w:rFonts w:ascii="Times New Roman PS Std;serif" w:hAnsi="Times New Roman PS Std;serif"/>
          <w:b/>
          <w:i/>
          <w:sz w:val="20"/>
        </w:rPr>
        <w:t xml:space="preserve">Conditions to Exercise. </w:t>
      </w:r>
      <w:r>
        <w:rPr>
          <w:rFonts w:ascii="Times New Roman PS Std;serif" w:hAnsi="Times New Roman PS Std;serif"/>
          <w:b w:val="false"/>
          <w:i w:val="false"/>
          <w:caps w:val="false"/>
          <w:smallCaps w:val="false"/>
          <w:sz w:val="20"/>
        </w:rPr>
        <w:t>The ability for Existing Stockholders to exercise their Rights shall be subject to the following conditions:</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Existing Stockholder must have been a beneficial owner of shares of Common Stock as of the Close of Business on the Record Date;</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Existing Stockholder must have remained continuously a beneficial owner of such shares of Common Stock to be redeemed from the Record Date until the expiration of the Redemption Period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such Existing Stockholder cannot have sold and repurchased such shares); and</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20 Trading Days prior to the first anniversary of the Closing, the volume weighted average price per share of the Common Stock must have been lower than the Redemption Price, rounded to the nearest cent.</w:t>
      </w:r>
    </w:p>
    <w:p>
      <w:pPr>
        <w:pStyle w:val="TextBody"/>
        <w:widowControl/>
        <w:pBdr/>
        <w:bidi w:val="0"/>
        <w:spacing w:before="160" w:after="283"/>
        <w:jc w:val="left"/>
        <w:rPr/>
      </w:pPr>
      <w:r>
        <w:rPr>
          <w:rFonts w:ascii="Times New Roman PS Std;serif" w:hAnsi="Times New Roman PS Std;serif"/>
          <w:b/>
          <w:i/>
          <w:sz w:val="20"/>
        </w:rPr>
        <w:t xml:space="preserve">Exercise Procedure. </w:t>
      </w:r>
      <w:r>
        <w:rPr>
          <w:rFonts w:ascii="Times New Roman PS Std;serif" w:hAnsi="Times New Roman PS Std;serif"/>
          <w:b w:val="false"/>
          <w:i w:val="false"/>
          <w:caps w:val="false"/>
          <w:smallCaps w:val="false"/>
          <w:sz w:val="20"/>
        </w:rPr>
        <w:t>To exercise a Right pertaining to a Subject Share, an Existing Stockholder must deliver to the Rights Agent and the Company a written notice in the form attached as Exhibit C to the Rights Agreement, together with the relevant Rights Certificates, the certificates (if any) representing such Subject Shares,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Existing Stockholder cannot have sold and repurchased such shares) in accordance with the provisions of the Rights Agreement.</w:t>
      </w:r>
    </w:p>
    <w:p>
      <w:pPr>
        <w:pStyle w:val="TextBody"/>
        <w:widowControl/>
        <w:pBdr/>
        <w:bidi w:val="0"/>
        <w:spacing w:before="160" w:after="283"/>
        <w:jc w:val="left"/>
        <w:rPr/>
      </w:pPr>
      <w:r>
        <w:rPr>
          <w:rFonts w:ascii="Times New Roman PS Std;serif" w:hAnsi="Times New Roman PS Std;serif"/>
          <w:b/>
          <w:i/>
          <w:sz w:val="20"/>
        </w:rPr>
        <w:t xml:space="preserve">Payment. </w:t>
      </w:r>
      <w:r>
        <w:rPr>
          <w:rFonts w:ascii="Times New Roman PS Std;serif" w:hAnsi="Times New Roman PS Std;serif"/>
          <w:b w:val="false"/>
          <w:i w:val="false"/>
          <w:caps w:val="false"/>
          <w:smallCaps w:val="false"/>
          <w:sz w:val="20"/>
        </w:rPr>
        <w:t>The Company shall deposit with the Rights Agent by wire transfer of immediately available funds an amount sufficient to pay the Redemption Price for all of the Subject Shares to be redeemed. The Rights Agent shall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i/>
          <w:sz w:val="20"/>
        </w:rPr>
        <w:t xml:space="preserve">Non-Transferability. </w:t>
      </w:r>
      <w:r>
        <w:rPr>
          <w:rFonts w:ascii="Times New Roman PS Std;serif" w:hAnsi="Times New Roman PS Std;serif"/>
          <w:b w:val="false"/>
          <w:i w:val="false"/>
          <w:caps w:val="false"/>
          <w:smallCaps w:val="false"/>
          <w:sz w:val="20"/>
        </w:rPr>
        <w:t>The Rights and the Rights Certificates may not be sold, assigned or transferred, in whole or in part, in any manner.</w:t>
      </w:r>
    </w:p>
    <w:p>
      <w:pPr>
        <w:pStyle w:val="TextBody"/>
        <w:widowControl/>
        <w:pBdr/>
        <w:bidi w:val="0"/>
        <w:spacing w:before="160" w:after="283"/>
        <w:jc w:val="left"/>
        <w:rPr/>
      </w:pPr>
      <w:r>
        <w:rPr>
          <w:rFonts w:ascii="Times New Roman PS Std;serif" w:hAnsi="Times New Roman PS Std;serif"/>
          <w:b/>
          <w:i/>
          <w:sz w:val="20"/>
        </w:rPr>
        <w:t>Additional Information.</w:t>
      </w:r>
      <w:r>
        <w:rPr>
          <w:caps w:val="false"/>
          <w:smallCaps w:val="false"/>
        </w:rPr>
        <w:t xml:space="preserve"> </w:t>
      </w:r>
      <w:r>
        <w:rPr>
          <w:rFonts w:ascii="Times New Roman PS Std;serif" w:hAnsi="Times New Roman PS Std;serif"/>
          <w:b w:val="false"/>
          <w:i w:val="false"/>
          <w:caps w:val="false"/>
          <w:smallCaps w:val="false"/>
          <w:sz w:val="20"/>
        </w:rPr>
        <w:t>A copy of the Rights Agreement has been filed with the Securities and Exchange Commission as an exhibit to a Current Report on Form 8-K. A copy of the Rights Agreement is also available free of charge from the Company. This description of the Rights does not purport to be complete and is qualified in its entirety by reference to the Rights Agreement and the Rights Certificates, which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B</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Rights Certificate]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CERTIFICATE</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Certificate No. R-___</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Number of Rights: _________</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NOT EXERCISABLE AFTER [*], 2027, OR ANY EARLIER “EXPIRATION TIME” (AS DEFINED IN THE RIGHTS AGREEMENT). THE RIGHTS REPRESENTED BY THIS RIGHTS CERTIFICATE ARE OR WERE OWNED BY A PERSON WHO WAS AN “EXISTING STOCKHOLDER” ON THE “RECORD DATE” (AS SUCH TERMS ARE DEFINED IN THE RIGHTS AGREEMENT). ACCORDINGLY, THIS RIGHTS CERTIFICATE AND THE RIGHTS REPRESENTED HEREBY SHALL BECOME NULL AND VOID IN THE CIRCUMSTANCES SPECIFIED IN </w:t>
      </w:r>
      <w:r>
        <w:rPr>
          <w:rFonts w:ascii="Times New Roman PS Std;serif" w:hAnsi="Times New Roman PS Std;serif"/>
          <w:b w:val="false"/>
          <w:i w:val="false"/>
          <w:caps w:val="false"/>
          <w:smallCaps w:val="false"/>
          <w:sz w:val="20"/>
          <w:u w:val="single"/>
        </w:rPr>
        <w:t>SECTION 3(e)</w:t>
      </w:r>
      <w:r>
        <w:rPr>
          <w:caps w:val="false"/>
          <w:smallCaps w:val="false"/>
        </w:rPr>
        <w:t xml:space="preserve"> </w:t>
      </w:r>
      <w:r>
        <w:rPr>
          <w:rFonts w:ascii="Times New Roman PS Std;serif" w:hAnsi="Times New Roman PS Std;serif"/>
          <w:b w:val="false"/>
          <w:i w:val="false"/>
          <w:caps w:val="false"/>
          <w:smallCaps w:val="false"/>
          <w:sz w:val="20"/>
        </w:rPr>
        <w:t>OF SUCH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certifies that __________ is the registered owner of the number of Rights set forth above, each of which entitles the owner thereof, subject to the terms, provisions and conditions of the Redemption Rights Agreement, dated as of [*], 2026 (as amended from time to time in accordance with its terms, the “</w:t>
      </w:r>
      <w:r>
        <w:rPr>
          <w:rFonts w:ascii="Times New Roman PS Std;serif" w:hAnsi="Times New Roman PS Std;serif"/>
          <w:b/>
          <w:i/>
          <w:sz w:val="20"/>
        </w:rPr>
        <w:t>Rights Agreement</w:t>
      </w:r>
      <w:r>
        <w:rPr>
          <w:caps w:val="false"/>
          <w:smallCaps w:val="false"/>
        </w:rPr>
        <w:t>”</w:t>
      </w:r>
      <w:r>
        <w:rPr>
          <w:rFonts w:ascii="Times New Roman PS Std;serif" w:hAnsi="Times New Roman PS Std;serif"/>
          <w:b w:val="false"/>
          <w:i w:val="false"/>
          <w:caps w:val="false"/>
          <w:smallCaps w:val="false"/>
          <w:sz w:val="20"/>
        </w:rPr>
        <w:t>), by and between Air Industries Group, a Nevada corporation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and Broadridge Corporate Issuer Solutions, LLC, as rights agent (and any successor rights agent, the “</w:t>
      </w:r>
      <w:r>
        <w:rPr>
          <w:rFonts w:ascii="Times New Roman PS Std;serif" w:hAnsi="Times New Roman PS Std;serif"/>
          <w:b/>
          <w:i/>
          <w:sz w:val="20"/>
        </w:rPr>
        <w:t>Rights Agent</w:t>
      </w:r>
      <w:r>
        <w:rPr>
          <w:caps w:val="false"/>
          <w:smallCaps w:val="false"/>
        </w:rPr>
        <w:t>”</w:t>
      </w:r>
      <w:r>
        <w:rPr>
          <w:rFonts w:ascii="Times New Roman PS Std;serif" w:hAnsi="Times New Roman PS Std;serif"/>
          <w:b w:val="false"/>
          <w:i w:val="false"/>
          <w:caps w:val="false"/>
          <w:smallCaps w:val="false"/>
          <w:sz w:val="20"/>
        </w:rPr>
        <w:t>), to require the Company to redeem such owner’s shares of the Company’s common stock, par value $0.001 per share (the “</w:t>
      </w:r>
      <w:r>
        <w:rPr>
          <w:rFonts w:ascii="Times New Roman PS Std;serif" w:hAnsi="Times New Roman PS Std;serif"/>
          <w:b/>
          <w:i/>
          <w:sz w:val="20"/>
        </w:rPr>
        <w:t>Common Stock</w:t>
      </w:r>
      <w:r>
        <w:rPr>
          <w:caps w:val="false"/>
          <w:smallCaps w:val="false"/>
        </w:rPr>
        <w:t>”</w:t>
      </w:r>
      <w:r>
        <w:rPr>
          <w:rFonts w:ascii="Times New Roman PS Std;serif" w:hAnsi="Times New Roman PS Std;serif"/>
          <w:b w:val="false"/>
          <w:i w:val="false"/>
          <w:caps w:val="false"/>
          <w:smallCaps w:val="false"/>
          <w:sz w:val="20"/>
        </w:rPr>
        <w:t>), at any time prior to 5:00 P.M. (New York City time) on [*], 2027, at the office or offices of the Rights Agent designated for such purpose, at a redemption price of $[*]</w:t>
      </w:r>
      <w:r>
        <w:rPr>
          <w:rFonts w:ascii="Times New Roman PS Std;serif" w:hAnsi="Times New Roman PS Std;serif"/>
          <w:b w:val="false"/>
          <w:i w:val="false"/>
          <w:caps w:val="false"/>
          <w:smallCaps w:val="false"/>
          <w:sz w:val="12"/>
        </w:rPr>
        <w:t>4</w:t>
      </w:r>
      <w:r>
        <w:rPr>
          <w:caps w:val="false"/>
          <w:smallCaps w:val="false"/>
        </w:rPr>
        <w:t xml:space="preserve"> </w:t>
      </w:r>
      <w:r>
        <w:rPr>
          <w:rFonts w:ascii="Times New Roman PS Std;serif" w:hAnsi="Times New Roman PS Std;serif"/>
          <w:b w:val="false"/>
          <w:i w:val="false"/>
          <w:caps w:val="false"/>
          <w:smallCaps w:val="false"/>
          <w:sz w:val="20"/>
        </w:rPr>
        <w:t>per share (the “</w:t>
      </w:r>
      <w:r>
        <w:rPr>
          <w:rFonts w:ascii="Times New Roman PS Std;serif" w:hAnsi="Times New Roman PS Std;serif"/>
          <w:b/>
          <w:i/>
          <w:sz w:val="20"/>
        </w:rPr>
        <w:t>Redemption Price</w:t>
      </w:r>
      <w:r>
        <w:rPr>
          <w:caps w:val="false"/>
          <w:smallCaps w:val="false"/>
        </w:rPr>
        <w:t>”</w:t>
      </w:r>
      <w:r>
        <w:rPr>
          <w:rFonts w:ascii="Times New Roman PS Std;serif" w:hAnsi="Times New Roman PS Std;serif"/>
          <w:b w:val="false"/>
          <w:i w:val="false"/>
          <w:caps w:val="false"/>
          <w:smallCaps w:val="false"/>
          <w:sz w:val="20"/>
        </w:rPr>
        <w:t>), upon presentation and surrender of this Rights Certificate, together with the Notice of Redemption properly completed and duly executed and the certificate(s), if any, representing the Subject Shares to be redeemed, duly endorsed for transfer to the Company. The number of Rights evidenced by this Rights Certificate (and the number of Subject Shares which may be redeemed upon exercise thereof) set forth above, and the Redemption Price per share set forth above, are the number and Redemption Price set forth in the Rights Agreement. Capitalized terms used but not defined herein shall have the meanings specified in the Rights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Rights may not be exercised and will be null and void if the holder of this Rights Certificate was not a beneficial owner of shares of Common Stock as of the Close of Business on the Record Date. The Rights may not be exercised and will be null and void if the holder of this Rights Certificate did not remain continuously a beneficial owner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holder cannot have sold and repurchased such shares). The Rights may not be exercised and will be null and void if the VWAP of the Common Stock for the 20 full Trading Days ending on (and including) the Trading Day immediately preceding the Anniversary Date, rounded to the nearest cent, is equal to or greater than the Redemption Price.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Existing Stockholders. Copies of the Rights Agreement are on file at the office of the Company and are also available upon written request to the Company.</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Rights Certificate shall be exercised in part, the holder of this Rights Certificate shall be entitled to receive upon surrender hereof another Rights Certificate or Rights Certificates for the number of whole Rights not exercised.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Rights Certificate shall not be valid or obligatory for any purpose until it has been countersigned manually or by facsimile signature by the Rights Agent.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i w:val="false"/>
          <w:caps w:val="false"/>
          <w:smallCaps w:val="false"/>
          <w:sz w:val="20"/>
        </w:rPr>
        <w:t>WITNESS</w:t>
      </w:r>
      <w:r>
        <w:rPr>
          <w:caps w:val="false"/>
          <w:smallCaps w:val="false"/>
        </w:rPr>
        <w:t> </w:t>
      </w:r>
      <w:r>
        <w:rPr>
          <w:rFonts w:ascii="Times New Roman PS Std;serif" w:hAnsi="Times New Roman PS Std;serif"/>
          <w:b w:val="false"/>
          <w:i w:val="false"/>
          <w:caps w:val="false"/>
          <w:smallCaps w:val="false"/>
          <w:sz w:val="20"/>
        </w:rPr>
        <w:t>the facsimile signature of the proper officer of the Company.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___________________, 2026</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bl>
      <w:tblPr>
        <w:tblW w:w="1670" w:type="dxa"/>
        <w:jc w:val="left"/>
        <w:tblInd w:w="0" w:type="dxa"/>
        <w:tblLayout w:type="fixed"/>
        <w:tblCellMar>
          <w:top w:w="0" w:type="dxa"/>
          <w:left w:w="0" w:type="dxa"/>
          <w:bottom w:w="0" w:type="dxa"/>
          <w:right w:w="0" w:type="dxa"/>
        </w:tblCellMar>
      </w:tblPr>
      <w:tblGrid>
        <w:gridCol w:w="436"/>
        <w:gridCol w:w="146"/>
        <w:gridCol w:w="751"/>
        <w:gridCol w:w="146"/>
        <w:gridCol w:w="191"/>
      </w:tblGrid>
      <w:tr>
        <w:trPr/>
        <w:tc>
          <w:tcPr>
            <w:tcW w:w="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4236" w:type="dxa"/>
        <w:jc w:val="left"/>
        <w:tblInd w:w="0" w:type="dxa"/>
        <w:tblLayout w:type="fixed"/>
        <w:tblCellMar>
          <w:top w:w="0" w:type="dxa"/>
          <w:left w:w="0" w:type="dxa"/>
          <w:bottom w:w="0" w:type="dxa"/>
          <w:right w:w="0" w:type="dxa"/>
        </w:tblCellMar>
      </w:tblPr>
      <w:tblGrid>
        <w:gridCol w:w="161"/>
        <w:gridCol w:w="146"/>
        <w:gridCol w:w="1140"/>
        <w:gridCol w:w="459"/>
        <w:gridCol w:w="233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929"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COUNTERSIGNATURE: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29"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___________________, 2026</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29"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BROADRIDGE CORPORATE </w:t>
              <w:br/>
              <w:t>ISSUER SOLUTIONS,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4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59" w:type="dxa"/>
            <w:tcBorders/>
          </w:tcPr>
          <w:p>
            <w:pPr>
              <w:pStyle w:val="TableContents"/>
              <w:bidi w:val="0"/>
              <w:spacing w:before="0" w:after="283"/>
              <w:jc w:val="left"/>
              <w:rPr/>
            </w:pPr>
            <w:r>
              <w:rPr/>
              <w:t> </w:t>
            </w:r>
          </w:p>
        </w:tc>
        <w:tc>
          <w:tcPr>
            <w:tcW w:w="2330"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40" w:type="dxa"/>
            <w:tcBorders/>
          </w:tcPr>
          <w:p>
            <w:pPr>
              <w:pStyle w:val="TableContents"/>
              <w:bidi w:val="0"/>
              <w:spacing w:before="0" w:after="283"/>
              <w:jc w:val="left"/>
              <w:rPr/>
            </w:pPr>
            <w:r>
              <w:rPr/>
              <w:t> </w:t>
            </w:r>
          </w:p>
        </w:tc>
        <w:tc>
          <w:tcPr>
            <w:tcW w:w="459" w:type="dxa"/>
            <w:tcBorders/>
          </w:tcPr>
          <w:p>
            <w:pPr>
              <w:pStyle w:val="TableContents"/>
              <w:bidi w:val="0"/>
              <w:spacing w:before="0" w:after="283"/>
              <w:jc w:val="left"/>
              <w:rPr/>
            </w:pPr>
            <w:r>
              <w:rPr/>
              <w:t> </w:t>
            </w:r>
          </w:p>
        </w:tc>
        <w:tc>
          <w:tcPr>
            <w:tcW w:w="233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40" w:type="dxa"/>
            <w:tcBorders/>
          </w:tcPr>
          <w:p>
            <w:pPr>
              <w:pStyle w:val="TableContents"/>
              <w:bidi w:val="0"/>
              <w:spacing w:before="0" w:after="283"/>
              <w:jc w:val="left"/>
              <w:rPr/>
            </w:pPr>
            <w:r>
              <w:rPr/>
              <w:t> </w:t>
            </w:r>
          </w:p>
        </w:tc>
        <w:tc>
          <w:tcPr>
            <w:tcW w:w="459" w:type="dxa"/>
            <w:tcBorders/>
          </w:tcPr>
          <w:p>
            <w:pPr>
              <w:pStyle w:val="TableContents"/>
              <w:bidi w:val="0"/>
              <w:spacing w:before="0" w:after="283"/>
              <w:jc w:val="left"/>
              <w:rPr/>
            </w:pPr>
            <w:r>
              <w:rPr/>
              <w:t> </w:t>
            </w:r>
          </w:p>
        </w:tc>
        <w:tc>
          <w:tcPr>
            <w:tcW w:w="233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5760" w:right="0" w:firstLine="720"/>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C</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 of Redemption]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REDEMPTION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undersigned hereby irrevocably (i) exercises his, her or its Rights as to the number of shares of Common Stock (the “</w:t>
      </w:r>
      <w:r>
        <w:rPr>
          <w:rFonts w:ascii="Times New Roman PS Std;serif" w:hAnsi="Times New Roman PS Std;serif"/>
          <w:b/>
          <w:i/>
          <w:sz w:val="20"/>
        </w:rPr>
        <w:t>Subject Shares</w:t>
      </w:r>
      <w:r>
        <w:rPr>
          <w:caps w:val="false"/>
          <w:smallCaps w:val="false"/>
        </w:rPr>
        <w:t>”</w:t>
      </w:r>
      <w:r>
        <w:rPr>
          <w:rFonts w:ascii="Times New Roman PS Std;serif" w:hAnsi="Times New Roman PS Std;serif"/>
          <w:b w:val="false"/>
          <w:i w:val="false"/>
          <w:caps w:val="false"/>
          <w:smallCaps w:val="false"/>
          <w:sz w:val="20"/>
        </w:rPr>
        <w:t>) of Air Industries Group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set forth on the signature page hereto in accordance with the terms of that certain Redemption Rights Agreement, dated [*], 2026 (the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between the Company and Broadridge Corporate Issuer Solutions, LLC, (ii) transfers and surrenders such Subject Shares and all right, title and interest of the undersigned therein to the Company and (iii) directs that the Redemption Price payable upon exercise of the Rights with respect to such Subject Shares be delivered to the address specified below. Attached hereto are the Rights Certificate(s) with respect to such Subject Shares and the certificate(s), if any, representing such Subject Shares, duly endorsed for transfer to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represents, warrants, certifies and agrees that (i) the undersigned has good and marketable title to such Subject Shares, free and clear of all liens; (ii) the undersigned has the full right, power and authority to transfer and surrender such Subject Shares as provided herein and such transfer and surrender has been authorized by all necessary action; (iii) the undersigned has obtained the consent or approval of all persons or entities, if any, having the right to consent to or approve such transfer and surrender; and (iv) the Subject Shares delivered for redemption by the undersigned were owned by the undersigned on the Record Date, have not been transferred, assigned, sold or repurchased to any person or entity at any time since the Record Date and continue to be owned by the undersigned on the date hereof.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terms used but not defined herein shall have the meanings set forth in the Agreement.</w:t>
      </w:r>
    </w:p>
    <w:tbl>
      <w:tblPr>
        <w:tblW w:w="7107" w:type="dxa"/>
        <w:jc w:val="left"/>
        <w:tblInd w:w="0" w:type="dxa"/>
        <w:tblLayout w:type="fixed"/>
        <w:tblCellMar>
          <w:top w:w="0" w:type="dxa"/>
          <w:left w:w="0" w:type="dxa"/>
          <w:bottom w:w="0" w:type="dxa"/>
          <w:right w:w="0" w:type="dxa"/>
        </w:tblCellMar>
      </w:tblPr>
      <w:tblGrid>
        <w:gridCol w:w="623"/>
        <w:gridCol w:w="563"/>
        <w:gridCol w:w="1395"/>
        <w:gridCol w:w="563"/>
        <w:gridCol w:w="2678"/>
        <w:gridCol w:w="563"/>
        <w:gridCol w:w="93"/>
        <w:gridCol w:w="146"/>
        <w:gridCol w:w="146"/>
        <w:gridCol w:w="146"/>
        <w:gridCol w:w="191"/>
      </w:tblGrid>
      <w:tr>
        <w:trPr/>
        <w:tc>
          <w:tcPr>
            <w:tcW w:w="6478" w:type="dxa"/>
            <w:gridSpan w:val="7"/>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____________________</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478" w:type="dxa"/>
            <w:gridSpan w:val="7"/>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Subject Shares to be redeemed: ____________________</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139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63" w:type="dxa"/>
            <w:tcBorders/>
          </w:tcPr>
          <w:p>
            <w:pPr>
              <w:pStyle w:val="TableContents"/>
              <w:bidi w:val="0"/>
              <w:spacing w:before="0" w:after="283"/>
              <w:jc w:val="left"/>
              <w:rPr/>
            </w:pPr>
            <w:r>
              <w:rPr/>
              <w:t> </w:t>
            </w:r>
          </w:p>
        </w:tc>
        <w:tc>
          <w:tcPr>
            <w:tcW w:w="3626" w:type="dxa"/>
            <w:gridSpan w:val="5"/>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1395"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267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63" w:type="dxa"/>
            <w:tcBorders/>
          </w:tcPr>
          <w:p>
            <w:pPr>
              <w:pStyle w:val="TableContents"/>
              <w:bidi w:val="0"/>
              <w:spacing w:before="0" w:after="283"/>
              <w:jc w:val="left"/>
              <w:rPr/>
            </w:pPr>
            <w:r>
              <w:rPr/>
              <w:t> </w:t>
            </w:r>
          </w:p>
        </w:tc>
        <w:tc>
          <w:tcPr>
            <w:tcW w:w="385" w:type="dxa"/>
            <w:gridSpan w:val="3"/>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1395"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267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563" w:type="dxa"/>
            <w:tcBorders/>
          </w:tcPr>
          <w:p>
            <w:pPr>
              <w:pStyle w:val="TableContents"/>
              <w:bidi w:val="0"/>
              <w:spacing w:before="0" w:after="283"/>
              <w:jc w:val="left"/>
              <w:rPr/>
            </w:pPr>
            <w:r>
              <w:rPr/>
              <w:t> </w:t>
            </w:r>
          </w:p>
        </w:tc>
        <w:tc>
          <w:tcPr>
            <w:tcW w:w="385" w:type="dxa"/>
            <w:gridSpan w:val="3"/>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5584" w:type="dxa"/>
            <w:gridSpan w:val="7"/>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5584" w:type="dxa"/>
            <w:gridSpan w:val="7"/>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Address)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5584" w:type="dxa"/>
            <w:gridSpan w:val="7"/>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5584" w:type="dxa"/>
            <w:gridSpan w:val="7"/>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(City, State, Zip Code)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5292" w:type="dxa"/>
            <w:gridSpan w:val="5"/>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Signature Guaranteed: </w:t>
            </w:r>
          </w:p>
        </w:tc>
        <w:tc>
          <w:tcPr>
            <w:tcW w:w="146" w:type="dxa"/>
            <w:tcBorders/>
          </w:tcPr>
          <w:p>
            <w:pPr>
              <w:pStyle w:val="TableContents"/>
              <w:bidi w:val="0"/>
              <w:spacing w:before="0" w:after="283"/>
              <w:jc w:val="left"/>
              <w:rPr/>
            </w:pPr>
            <w:r>
              <w:rPr/>
              <w:t> </w:t>
            </w:r>
          </w:p>
        </w:tc>
        <w:tc>
          <w:tcPr>
            <w:tcW w:w="483" w:type="dxa"/>
            <w:gridSpan w:val="3"/>
            <w:tcBorders/>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idi w:val="0"/>
        <w:spacing w:before="160" w:after="283"/>
        <w:jc w:val="left"/>
        <w:rPr/>
      </w:pPr>
      <w:r>
        <w:rPr>
          <w:rFonts w:ascii="Times New Roman PS Std;serif" w:hAnsi="Times New Roman PS Std;serif"/>
          <w:b/>
          <w:i w:val="false"/>
          <w:caps w:val="false"/>
          <w:smallCaps w:val="false"/>
          <w:sz w:val="20"/>
        </w:rPr>
        <w:t xml:space="preserve">NOTICE: </w:t>
      </w:r>
      <w:r>
        <w:rPr>
          <w:rFonts w:ascii="Times New Roman PS Std;serif" w:hAnsi="Times New Roman PS Std;serif"/>
          <w:b w:val="false"/>
          <w:i w:val="false"/>
          <w:caps w:val="false"/>
          <w:smallCaps w:val="false"/>
          <w:sz w:val="20"/>
        </w:rPr>
        <w:t>The signature to the foregoing Notice of Redemption must correspond to the name as written upon the face of the relevant Rights Certificate in every particular, without alteration or enlargement or any change whatsoever.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2" w:name="T2006"/>
      <w:bookmarkEnd w:id="122"/>
      <w:r>
        <w:rPr>
          <w:rFonts w:ascii="Times New Roman PS Std;serif" w:hAnsi="Times New Roman PS Std;serif"/>
          <w:b/>
          <w:i w:val="false"/>
          <w:caps w:val="false"/>
          <w:smallCaps w:val="false"/>
          <w:sz w:val="20"/>
        </w:rPr>
        <w:t xml:space="preserve">Annex D </w:t>
      </w:r>
    </w:p>
    <w:p>
      <w:pPr>
        <w:pStyle w:val="TextBody"/>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among</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INVESTORS</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w:t>
      </w:r>
    </w:p>
    <w:p>
      <w:pPr>
        <w:pStyle w:val="TextBody"/>
        <w:keepNext w:val="true"/>
        <w:pBdr/>
        <w:bidi w:val="0"/>
        <w:spacing w:before="1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Investors’ Representative</w:t>
      </w:r>
    </w:p>
    <w:p>
      <w:pPr>
        <w:pStyle w:val="TextBody"/>
        <w:keepNext w:val="true"/>
        <w:pBdr/>
        <w:bidi w:val="0"/>
        <w:spacing w:before="160" w:after="2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7705" w:type="dxa"/>
        <w:jc w:val="left"/>
        <w:tblInd w:w="0" w:type="dxa"/>
        <w:tblLayout w:type="fixed"/>
        <w:tblCellMar>
          <w:top w:w="0" w:type="dxa"/>
          <w:left w:w="0" w:type="dxa"/>
          <w:bottom w:w="0" w:type="dxa"/>
          <w:right w:w="0" w:type="dxa"/>
        </w:tblCellMar>
      </w:tblPr>
      <w:tblGrid>
        <w:gridCol w:w="1516"/>
        <w:gridCol w:w="146"/>
        <w:gridCol w:w="4666"/>
        <w:gridCol w:w="146"/>
        <w:gridCol w:w="1231"/>
      </w:tblGrid>
      <w:tr>
        <w:trPr/>
        <w:tc>
          <w:tcPr>
            <w:tcW w:w="6328"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D</w:t>
              <w:br/>
              <w:t>Page Nos.</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and Underwritten Offerings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D-5</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Piggyback Offering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D-6</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 of Underwritten Offering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D-6</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D-7</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Offerings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D-10</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Blackout Period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D-11</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2.07.</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D-11</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Contribution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D-12</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2.09.</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2.10.</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Registration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28" w:type="dxa"/>
            <w:gridSpan w:val="3"/>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3.03.</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3.04.</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Waivers;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3.07.</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3.08.</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 No Third-Party Beneficiaries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3.09.</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Effectiveness; Termination; Survival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3.13.</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3.14.</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D-18</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w:t>
            </w:r>
          </w:p>
        </w:tc>
        <w:tc>
          <w:tcPr>
            <w:tcW w:w="146" w:type="dxa"/>
            <w:tcBorders/>
            <w:shd w:fill="CCEEFF" w:val="clear"/>
            <w:vAlign w:val="bottom"/>
          </w:tcPr>
          <w:p>
            <w:pPr>
              <w:pStyle w:val="TableContents"/>
              <w:bidi w:val="0"/>
              <w:spacing w:before="0" w:after="283"/>
              <w:jc w:val="left"/>
              <w:rPr/>
            </w:pPr>
            <w:r>
              <w:rPr/>
              <w:t> </w:t>
            </w:r>
          </w:p>
        </w:tc>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D-19</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w:t>
            </w:r>
          </w:p>
        </w:tc>
        <w:tc>
          <w:tcPr>
            <w:tcW w:w="146" w:type="dxa"/>
            <w:tcBorders/>
            <w:vAlign w:val="bottom"/>
          </w:tcPr>
          <w:p>
            <w:pPr>
              <w:pStyle w:val="TableContents"/>
              <w:bidi w:val="0"/>
              <w:spacing w:before="0" w:after="283"/>
              <w:jc w:val="left"/>
              <w:rPr/>
            </w:pPr>
            <w:r>
              <w:rPr/>
              <w:t> </w:t>
            </w:r>
          </w:p>
        </w:tc>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Representative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D-19</w:t>
            </w:r>
          </w:p>
        </w:tc>
      </w:tr>
    </w:tbl>
    <w:tbl>
      <w:tblPr>
        <w:tblW w:w="6238" w:type="dxa"/>
        <w:jc w:val="left"/>
        <w:tblInd w:w="0" w:type="dxa"/>
        <w:tblLayout w:type="fixed"/>
        <w:tblCellMar>
          <w:top w:w="0" w:type="dxa"/>
          <w:left w:w="0" w:type="dxa"/>
          <w:bottom w:w="0" w:type="dxa"/>
          <w:right w:w="0" w:type="dxa"/>
        </w:tblCellMar>
      </w:tblPr>
      <w:tblGrid>
        <w:gridCol w:w="1186"/>
        <w:gridCol w:w="146"/>
        <w:gridCol w:w="4906"/>
      </w:tblGrid>
      <w:tr>
        <w:trPr/>
        <w:tc>
          <w:tcPr>
            <w:tcW w:w="623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Schedules, Exhibits and Annexes</w:t>
            </w:r>
          </w:p>
        </w:tc>
      </w:tr>
      <w:tr>
        <w:trPr/>
        <w:tc>
          <w:tcPr>
            <w:tcW w:w="6238" w:type="dxa"/>
            <w:gridSpan w:val="3"/>
            <w:tcBorders/>
            <w:vAlign w:val="bottom"/>
          </w:tcPr>
          <w:p>
            <w:pPr>
              <w:pStyle w:val="TableContents"/>
              <w:bidi w:val="0"/>
              <w:spacing w:before="0" w:after="283"/>
              <w:jc w:val="left"/>
              <w:rPr/>
            </w:pPr>
            <w:r>
              <w:rPr/>
              <w:t> </w:t>
            </w:r>
          </w:p>
        </w:tc>
      </w:tr>
      <w:tr>
        <w:trPr/>
        <w:tc>
          <w:tcPr>
            <w:tcW w:w="1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1</w:t>
            </w:r>
          </w:p>
        </w:tc>
        <w:tc>
          <w:tcPr>
            <w:tcW w:w="146" w:type="dxa"/>
            <w:tcBorders/>
            <w:shd w:fill="CCEEFF" w:val="clear"/>
            <w:vAlign w:val="bottom"/>
          </w:tcPr>
          <w:p>
            <w:pPr>
              <w:pStyle w:val="TableContents"/>
              <w:bidi w:val="0"/>
              <w:spacing w:before="0" w:after="283"/>
              <w:jc w:val="left"/>
              <w:rPr/>
            </w:pPr>
            <w:r>
              <w:rPr/>
              <w:t> </w:t>
            </w:r>
          </w:p>
        </w:tc>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Investors</w:t>
            </w:r>
          </w:p>
        </w:tc>
      </w:tr>
      <w:tr>
        <w:trPr/>
        <w:tc>
          <w:tcPr>
            <w:tcW w:w="1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Joinder Agreement</w:t>
            </w:r>
          </w:p>
        </w:tc>
      </w:tr>
      <w:tr>
        <w:trPr/>
        <w:tc>
          <w:tcPr>
            <w:tcW w:w="1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c>
          <w:tcPr>
            <w:tcW w:w="146" w:type="dxa"/>
            <w:tcBorders/>
            <w:shd w:fill="CCEEFF" w:val="clear"/>
            <w:vAlign w:val="bottom"/>
          </w:tcPr>
          <w:p>
            <w:pPr>
              <w:pStyle w:val="TableContents"/>
              <w:bidi w:val="0"/>
              <w:spacing w:before="0" w:after="283"/>
              <w:jc w:val="left"/>
              <w:rPr/>
            </w:pPr>
            <w:r>
              <w:rPr/>
              <w:t> </w:t>
            </w:r>
          </w:p>
        </w:tc>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the Company</w:t>
            </w:r>
          </w:p>
        </w:tc>
      </w:tr>
      <w:tr>
        <w:trPr/>
        <w:tc>
          <w:tcPr>
            <w:tcW w:w="1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B</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the Investors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REGISTRATION RIGHTS AGREEMENT, dated as of [•],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among:</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A.          Air Industries Group, a Nevada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B.          NTC Equity Holdings, LLC, a Delaware limited liability company (together with its Permitted Transferees that become party hereto, the “</w:t>
      </w:r>
      <w:r>
        <w:rPr>
          <w:rFonts w:ascii="Times New Roman PS Std;serif" w:hAnsi="Times New Roman PS Std;serif"/>
          <w:b w:val="false"/>
          <w:i w:val="false"/>
          <w:caps w:val="false"/>
          <w:smallCaps w:val="false"/>
          <w:sz w:val="20"/>
          <w:u w:val="single"/>
        </w:rPr>
        <w:t>NTC Investor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C.          The other Persons set forth on Schedule 1 hereto (subject to their delivery of an executed signature page hereto) (each, an “</w:t>
      </w:r>
      <w:r>
        <w:rPr>
          <w:rFonts w:ascii="Times New Roman PS Std;serif" w:hAnsi="Times New Roman PS Std;serif"/>
          <w:b w:val="false"/>
          <w:i w:val="false"/>
          <w:caps w:val="false"/>
          <w:smallCaps w:val="false"/>
          <w:sz w:val="20"/>
          <w:u w:val="single"/>
        </w:rPr>
        <w:t>Other Investor</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D.          The NTC Group, Inc., a Delaware corporation, in its capacity as agent, proxy and attorney-in-fact for the Investors (“</w:t>
      </w:r>
      <w:r>
        <w:rPr>
          <w:rFonts w:ascii="Times New Roman PS Std;serif" w:hAnsi="Times New Roman PS Std;serif"/>
          <w:b w:val="false"/>
          <w:i w:val="false"/>
          <w:caps w:val="false"/>
          <w:smallCaps w:val="false"/>
          <w:sz w:val="20"/>
          <w:u w:val="single"/>
        </w:rPr>
        <w:t>Investors’ Representative</w:t>
      </w:r>
      <w:r>
        <w:rPr>
          <w:caps w:val="false"/>
          <w:smallCaps w:val="false"/>
        </w:rPr>
        <w:t>”</w:t>
      </w:r>
      <w:r>
        <w:rPr>
          <w:rFonts w:ascii="Times New Roman PS Std;serif" w:hAnsi="Times New Roman PS Std;serif"/>
          <w:b w:val="false"/>
          <w:i w:val="false"/>
          <w:caps w:val="false"/>
          <w:smallCaps w:val="false"/>
          <w:sz w:val="20"/>
        </w:rPr>
        <w:t>) and any successor appointed in accordance with Section 3.16(b).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any Permitted Transferees (as defined below) that execute joinders to this Agreement pursuant to Section 3.10 after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upon the closing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of the transactions contemplated under that certain Amended and Restated Agreement and Plan of Merger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dated as of July 2, 2026, among the Company, Tenax Aerospace Acquisition, LLC, a Delaware limited liability company, and Transitory Air Sub LLC, a Delaware limited liability company, the Investors (as defined below) will become holders of shares of common stock of the Company, par value $0.001 per share (the “</w:t>
      </w:r>
      <w:r>
        <w:rPr>
          <w:rFonts w:ascii="Times New Roman PS Std;serif" w:hAnsi="Times New Roman PS Std;serif"/>
          <w:b w:val="false"/>
          <w:i w:val="false"/>
          <w:caps w:val="false"/>
          <w:smallCaps w:val="false"/>
          <w:sz w:val="20"/>
          <w:u w:val="single"/>
        </w:rPr>
        <w:t>Common Stock</w:t>
      </w:r>
      <w:r>
        <w:rPr>
          <w:caps w:val="false"/>
          <w:smallCaps w:val="false"/>
        </w:rPr>
        <w:t>”</w:t>
      </w:r>
      <w:r>
        <w:rPr>
          <w:rFonts w:ascii="Times New Roman PS Std;serif" w:hAnsi="Times New Roman PS Std;serif"/>
          <w:b w:val="false"/>
          <w:i w:val="false"/>
          <w:caps w:val="false"/>
          <w:smallCaps w:val="false"/>
          <w:sz w:val="20"/>
        </w:rPr>
        <w:t>) or Warrants (as defined herein) exercisable for Common Stock, as the case may be;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enter into this Agreement to establish certain rights, duties and obligations of the parties hereto.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hereto hereby acknowledge, covenant and agree with each other as follows:</w:t>
      </w:r>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w:t>
      </w:r>
      <w:r>
        <w:rPr>
          <w:rFonts w:ascii="Times New Roman;serif" w:hAnsi="Times New Roman;serif"/>
          <w:b w:val="false"/>
          <w:i w:val="false"/>
          <w:caps w:val="false"/>
          <w:smallCaps w:val="false"/>
          <w:sz w:val="20"/>
          <w:u w:val="single"/>
        </w:rPr>
        <w:br/>
        <w:br/>
      </w:r>
      <w:r>
        <w:rPr>
          <w:rFonts w:ascii="Times New Roman PS Std;serif" w:hAnsi="Times New Roman PS Std;serif"/>
          <w:b w:val="false"/>
          <w:i w:val="false"/>
          <w:caps w:val="false"/>
          <w:smallCaps w:val="false"/>
          <w:sz w:val="20"/>
          <w:u w:val="single"/>
        </w:rPr>
        <w:t>Definitions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(a) As used in this Agreement, the following terms will have the following meanings: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litigation, suit, claim, action, proceeding or investigation.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An “</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 xml:space="preserve">of any Person means another Person that, directly or indirectly through one or more intermediaries, controls, or is controlled by, or is under common control with, such first Person;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Company and its Subsidiaries shall be deemed not to be Affiliates of any Investor for any reason under this Agreement. As used in this Agreement, “control” means the possession, directly or indirectly, of the power to direct or cause the direction of the management and policies of such Person, whether through ownership of voting securities or other interests, by contract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beneficial owner</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beneficial ownership</w:t>
      </w:r>
      <w:r>
        <w:rPr>
          <w:caps w:val="false"/>
          <w:smallCaps w:val="false"/>
        </w:rPr>
        <w:t xml:space="preserve">” </w:t>
      </w:r>
      <w:r>
        <w:rPr>
          <w:rFonts w:ascii="Times New Roman PS Std;serif" w:hAnsi="Times New Roman PS Std;serif"/>
          <w:b w:val="false"/>
          <w:i w:val="false"/>
          <w:caps w:val="false"/>
          <w:smallCaps w:val="false"/>
          <w:sz w:val="20"/>
        </w:rPr>
        <w:t>and words of similar import have the meaning assigned to such terms in Rule 13d-3 under the Exchange Act as in effect on the date of this Agreement, and a Person’s beneficial ownership of Equity Securities shall be calculated in accordance with the provisions of such Rule.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on which banks are not required or authorized to close in the City of New York.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Bylaws</w:t>
      </w:r>
      <w:r>
        <w:rPr>
          <w:caps w:val="false"/>
          <w:smallCaps w:val="false"/>
        </w:rPr>
        <w:t xml:space="preserve">” </w:t>
      </w:r>
      <w:r>
        <w:rPr>
          <w:rFonts w:ascii="Times New Roman PS Std;serif" w:hAnsi="Times New Roman PS Std;serif"/>
          <w:b w:val="false"/>
          <w:i w:val="false"/>
          <w:caps w:val="false"/>
          <w:smallCaps w:val="false"/>
          <w:sz w:val="20"/>
        </w:rPr>
        <w:t>means the Bylaws of the Company, as in effect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Charter</w:t>
      </w:r>
      <w:r>
        <w:rPr>
          <w:caps w:val="false"/>
          <w:smallCaps w:val="false"/>
        </w:rPr>
        <w:t xml:space="preserve">” </w:t>
      </w:r>
      <w:r>
        <w:rPr>
          <w:rFonts w:ascii="Times New Roman PS Std;serif" w:hAnsi="Times New Roman PS Std;serif"/>
          <w:b w:val="false"/>
          <w:i w:val="false"/>
          <w:caps w:val="false"/>
          <w:smallCaps w:val="false"/>
          <w:sz w:val="20"/>
        </w:rPr>
        <w:t>means the Articles of Incorporation of the Company, as in effect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EDGAR</w:t>
      </w:r>
      <w:r>
        <w:rPr>
          <w:caps w:val="false"/>
          <w:smallCaps w:val="false"/>
        </w:rPr>
        <w:t xml:space="preserve">” </w:t>
      </w:r>
      <w:r>
        <w:rPr>
          <w:rFonts w:ascii="Times New Roman PS Std;serif" w:hAnsi="Times New Roman PS Std;serif"/>
          <w:b w:val="false"/>
          <w:i w:val="false"/>
          <w:caps w:val="false"/>
          <w:smallCaps w:val="false"/>
          <w:sz w:val="20"/>
        </w:rPr>
        <w:t>means the SEC’s Electronic Data Gathering, Analysis and Retrieval system.</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Encumbrance</w:t>
      </w:r>
      <w:r>
        <w:rPr>
          <w:caps w:val="false"/>
          <w:smallCaps w:val="false"/>
        </w:rPr>
        <w:t xml:space="preserve">” </w:t>
      </w:r>
      <w:r>
        <w:rPr>
          <w:rFonts w:ascii="Times New Roman PS Std;serif" w:hAnsi="Times New Roman PS Std;serif"/>
          <w:b w:val="false"/>
          <w:i w:val="false"/>
          <w:caps w:val="false"/>
          <w:smallCaps w:val="false"/>
          <w:sz w:val="20"/>
        </w:rPr>
        <w:t>means any security interest, pledge, mortgage, lien or other material encumbrance, except for any restrictions arising under any applicable securities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Equity Security</w:t>
      </w:r>
      <w:r>
        <w:rPr>
          <w:caps w:val="false"/>
          <w:smallCaps w:val="false"/>
        </w:rPr>
        <w:t xml:space="preserve">” </w:t>
      </w:r>
      <w:r>
        <w:rPr>
          <w:rFonts w:ascii="Times New Roman PS Std;serif" w:hAnsi="Times New Roman PS Std;serif"/>
          <w:b w:val="false"/>
          <w:i w:val="false"/>
          <w:caps w:val="false"/>
          <w:smallCaps w:val="false"/>
          <w:sz w:val="20"/>
        </w:rPr>
        <w:t>of any Person means, without duplication, (i) any common shares or other Voting Securities of such Person, (ii) any options, warrants, convertible or exchangeable securities, stock-based performance units or other rights to acquire common shares or other Voting Securities of such Person or (iii) any other rights that give the holder thereof any economic interest of a nature accruing to the holders of common shares or other Voting Securities.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any transnational, national, federal, state, provincial, local or other government, domestic or foreign, or any court of competent jurisdiction, administrative agency or commission or other governmental authority or instrumentality, domestic or foreign, or any national securities exchange or national quotation system on which securities issued by the Company or any of its Subsidiaries are listed or quoted.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Investor</w:t>
      </w:r>
      <w:r>
        <w:rPr>
          <w:caps w:val="false"/>
          <w:smallCaps w:val="false"/>
        </w:rPr>
        <w:t xml:space="preserve">” </w:t>
      </w:r>
      <w:r>
        <w:rPr>
          <w:rFonts w:ascii="Times New Roman PS Std;serif" w:hAnsi="Times New Roman PS Std;serif"/>
          <w:b w:val="false"/>
          <w:i w:val="false"/>
          <w:caps w:val="false"/>
          <w:smallCaps w:val="false"/>
          <w:sz w:val="20"/>
        </w:rPr>
        <w:t>means each of the NTC Investor, the Other Investors and any Permitted Transferee of any Investor that executes a joinder to this Agreement pursuant to Section 3.10 after the date of this Agreement, and all of them, collectively, the “</w:t>
      </w:r>
      <w:r>
        <w:rPr>
          <w:rFonts w:ascii="Times New Roman PS Std;serif" w:hAnsi="Times New Roman PS Std;serif"/>
          <w:b w:val="false"/>
          <w:i w:val="false"/>
          <w:caps w:val="false"/>
          <w:smallCaps w:val="false"/>
          <w:sz w:val="20"/>
          <w:u w:val="single"/>
        </w:rPr>
        <w:t>Investors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Issuer FWP</w:t>
      </w:r>
      <w:r>
        <w:rPr>
          <w:caps w:val="false"/>
          <w:smallCaps w:val="false"/>
        </w:rPr>
        <w:t xml:space="preserve">” </w:t>
      </w:r>
      <w:r>
        <w:rPr>
          <w:rFonts w:ascii="Times New Roman PS Std;serif" w:hAnsi="Times New Roman PS Std;serif"/>
          <w:b w:val="false"/>
          <w:i w:val="false"/>
          <w:caps w:val="false"/>
          <w:smallCaps w:val="false"/>
          <w:sz w:val="20"/>
        </w:rPr>
        <w:t>has the meaning assigned to “issuer free writing prospectus” in Rule 433 under the Securities 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Key Holders</w:t>
      </w:r>
      <w:r>
        <w:rPr>
          <w:caps w:val="false"/>
          <w:smallCaps w:val="false"/>
        </w:rPr>
        <w:t xml:space="preserve">” </w:t>
      </w:r>
      <w:r>
        <w:rPr>
          <w:rFonts w:ascii="Times New Roman PS Std;serif" w:hAnsi="Times New Roman PS Std;serif"/>
          <w:b w:val="false"/>
          <w:i w:val="false"/>
          <w:caps w:val="false"/>
          <w:smallCaps w:val="false"/>
          <w:sz w:val="20"/>
        </w:rPr>
        <w:t>means (a) the NTC Investor, for so long as it holds Registrable Securities, and (b) Thomas Foley, Taran Bakker and their controlled Affiliates (and any of their respective Permitted Transferees) so long as, in the case of this clause (b), such Person has executed a joinder to this Agreement pursuant to Section 3.10 in such Person’s capacity as a Permitted Transferee.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law, treaty, statute, ordinance, code, rule, regulation, judgment, decree, order, writ, award, injunction, authorization or determination enacted, entered, promulgated, enforced or issued by any Governmental Entity.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NYSE American</w:t>
      </w:r>
      <w:r>
        <w:rPr>
          <w:caps w:val="false"/>
          <w:smallCaps w:val="false"/>
        </w:rPr>
        <w:t xml:space="preserve">” </w:t>
      </w:r>
      <w:r>
        <w:rPr>
          <w:rFonts w:ascii="Times New Roman PS Std;serif" w:hAnsi="Times New Roman PS Std;serif"/>
          <w:b w:val="false"/>
          <w:i w:val="false"/>
          <w:caps w:val="false"/>
          <w:smallCaps w:val="false"/>
          <w:sz w:val="20"/>
        </w:rPr>
        <w:t>means the NYSE American stock exchange.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Offering Expenses</w:t>
      </w:r>
      <w:r>
        <w:rPr>
          <w:caps w:val="false"/>
          <w:smallCaps w:val="false"/>
        </w:rPr>
        <w:t xml:space="preserve">” </w:t>
      </w:r>
      <w:r>
        <w:rPr>
          <w:rFonts w:ascii="Times New Roman PS Std;serif" w:hAnsi="Times New Roman PS Std;serif"/>
          <w:b w:val="false"/>
          <w:i w:val="false"/>
          <w:caps w:val="false"/>
          <w:smallCaps w:val="false"/>
          <w:sz w:val="20"/>
        </w:rPr>
        <w:t xml:space="preserve">means all reasonable fees and expenses incident to the Company’s performance of or compliance with the obligations of Article II, including all fees and expenses of compliance with securities or blue sky laws (including reasonable fees and disbursements of counsel for any Underwriters in connection with qualification of Registrable Securities under applicable blue sky laws), printing expenses, messenger and delivery expenses of the Company, any registration or filing fees payable under any Federal or state securities or blue sky laws, the fees and expenses incurred in connection with any listing or quoting of the securities to be registered on any national securities exchange or automated quotation system, fees of the Financial Industry Regulatory Authority, fees and disbursements of counsel for the Company, its independent registered certified public accounting firm and any other public accountants who are required to deliver comfort letters (including the expenses required by or incident to such performance), transfer taxes, fees of transfer agents and registrars, costs of insurance, and the fees and expenses of other Persons retained by the Company in connection with complying with the obligations of Article II;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no event shall Offering Expenses include (i) the Company’s internal expenses (including all salaries and expenses of its officers and employees) or (ii) fees and expenses that would have otherwise been incurred absent any Demand Offering (including any and all fees and expenses to prepare and file any underlying Registration Statement pursuant to Section 2.01 or any amendment thereto necessary to maintain the effectiveness of such Registration Statement),</w:t>
      </w:r>
      <w:r>
        <w:rPr>
          <w:caps w:val="false"/>
          <w:smallCaps w:val="false"/>
        </w:rPr>
        <w:t xml:space="preserve"> </w:t>
      </w:r>
      <w:r>
        <w:rPr>
          <w:rFonts w:ascii="Times New Roman PS Std;serif" w:hAnsi="Times New Roman PS Std;serif"/>
          <w:b w:val="false"/>
          <w:i w:val="false"/>
          <w:caps w:val="false"/>
          <w:smallCaps w:val="false"/>
          <w:sz w:val="20"/>
        </w:rPr>
        <w:t>which, for the avoidance of doubt, in each case shall be borne by the Company.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Transferee</w:t>
      </w:r>
      <w:r>
        <w:rPr>
          <w:caps w:val="false"/>
          <w:smallCaps w:val="false"/>
        </w:rPr>
        <w:t xml:space="preserve">” </w:t>
      </w:r>
      <w:r>
        <w:rPr>
          <w:rFonts w:ascii="Times New Roman PS Std;serif" w:hAnsi="Times New Roman PS Std;serif"/>
          <w:b w:val="false"/>
          <w:i w:val="false"/>
          <w:caps w:val="false"/>
          <w:smallCaps w:val="false"/>
          <w:sz w:val="20"/>
        </w:rPr>
        <w:t>means (i) with respect to any Investor that is not a natural person, an Affiliate of such Investor or the (direct or indirect) partners, limited liability company members, stockholders or other equity holders of such Investor, and (ii) with respect to any Investor who is a natural person: (A) in the event of such Investor’s death, such Investor’s heirs, executors, administrators, testamentary trustees, legatees or beneficiaries, (B) a trust, the beneficiaries of which include only such Investor and the spouse, parents, siblings and descendants (whether natural or adopted) (“</w:t>
      </w:r>
      <w:r>
        <w:rPr>
          <w:rFonts w:ascii="Times New Roman PS Std;serif" w:hAnsi="Times New Roman PS Std;serif"/>
          <w:b w:val="false"/>
          <w:i w:val="false"/>
          <w:caps w:val="false"/>
          <w:smallCaps w:val="false"/>
          <w:sz w:val="20"/>
          <w:u w:val="single"/>
        </w:rPr>
        <w:t>Family Members</w:t>
      </w:r>
      <w:r>
        <w:rPr>
          <w:caps w:val="false"/>
          <w:smallCaps w:val="false"/>
        </w:rPr>
        <w:t>”</w:t>
      </w:r>
      <w:r>
        <w:rPr>
          <w:rFonts w:ascii="Times New Roman PS Std;serif" w:hAnsi="Times New Roman PS Std;serif"/>
          <w:b w:val="false"/>
          <w:i w:val="false"/>
          <w:caps w:val="false"/>
          <w:smallCaps w:val="false"/>
          <w:sz w:val="20"/>
        </w:rPr>
        <w:t>) of such Investor and (C) any partnerships or limited liability companies where the only partners or members are such Investor, such Investor’s Family Members or any trust described in clause (B) above. For the avoidance of doubt, Permitted Transferees will include the direct and indirect equity owners of the NTC Investor or any controlled Affiliate of any of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any individual, firm, corporation, partnership, limited partnership, company, limited liability company, trust, joint venture, association, Governmental Entity, unincorporated organization, syndicate or other entity, foreign or domestic.</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Public Offering</w:t>
      </w:r>
      <w:r>
        <w:rPr>
          <w:caps w:val="false"/>
          <w:smallCaps w:val="false"/>
        </w:rPr>
        <w:t xml:space="preserve">” </w:t>
      </w:r>
      <w:r>
        <w:rPr>
          <w:rFonts w:ascii="Times New Roman PS Std;serif" w:hAnsi="Times New Roman PS Std;serif"/>
          <w:b w:val="false"/>
          <w:i w:val="false"/>
          <w:caps w:val="false"/>
          <w:smallCaps w:val="false"/>
          <w:sz w:val="20"/>
        </w:rPr>
        <w:t>means the offer and sale of Registrable Securities for cash pursuant to an effective Registration Statement under the Securities Act (other than a Registration Statement on Form S-4 or Form S-8 or any successor form).</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Registrable Securities</w:t>
      </w:r>
      <w:r>
        <w:rPr>
          <w:caps w:val="false"/>
          <w:smallCaps w:val="false"/>
        </w:rPr>
        <w:t xml:space="preserve">” </w:t>
      </w:r>
      <w:r>
        <w:rPr>
          <w:rFonts w:ascii="Times New Roman PS Std;serif" w:hAnsi="Times New Roman PS Std;serif"/>
          <w:b w:val="false"/>
          <w:i w:val="false"/>
          <w:caps w:val="false"/>
          <w:smallCaps w:val="false"/>
          <w:sz w:val="20"/>
        </w:rPr>
        <w:t>means, with respect to any Investor (including its Permitted Transferees), (i) shares of Common Stock issued to such Investor pursuant to the Merger Agreement, (ii) Common Stock issuable upon the exercise of the Warrants and (iii) any Equity Securities that may be received by such Investor (or its Permitted Transferees) with respect to or on account of the shares or units covered in clauses (i) and (ii).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to the public pursuant to Rule 144; (y) the aggregate number of such securities held by the applicable Investor and its Affiliates is less than the number that would subject the distribution thereof to any volume limitation or other restrictions on transfer under Rule 144 and such Investor is able to immediately distribute such securities publicly without any restrictions on transfer (including without application of paragraphs (c), (d), (e), (f) and (h) of Rule 144); or (z) such securities shall have ceased to be outstanding.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Representative</w:t>
      </w:r>
      <w:r>
        <w:rPr>
          <w:caps w:val="false"/>
          <w:smallCaps w:val="false"/>
        </w:rPr>
        <w:t xml:space="preserve">” </w:t>
      </w:r>
      <w:r>
        <w:rPr>
          <w:rFonts w:ascii="Times New Roman PS Std;serif" w:hAnsi="Times New Roman PS Std;serif"/>
          <w:b w:val="false"/>
          <w:i w:val="false"/>
          <w:caps w:val="false"/>
          <w:smallCaps w:val="false"/>
          <w:sz w:val="20"/>
        </w:rPr>
        <w:t>means, with respect to a specified Person, any officer, agent, advisor (including legal counsel, accountants and financial advisors) or employee of such Person or any partner, member or shareholder of such Person or any director, officer, employee, partner, affiliate, member, manager, shareholder, assignee or representative of any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Rule 144</w:t>
      </w:r>
      <w:r>
        <w:rPr>
          <w:caps w:val="false"/>
          <w:smallCaps w:val="false"/>
        </w:rPr>
        <w:t xml:space="preserve">” </w:t>
      </w:r>
      <w:r>
        <w:rPr>
          <w:rFonts w:ascii="Times New Roman PS Std;serif" w:hAnsi="Times New Roman PS Std;serif"/>
          <w:b w:val="false"/>
          <w:i w:val="false"/>
          <w:caps w:val="false"/>
          <w:smallCaps w:val="false"/>
          <w:sz w:val="20"/>
        </w:rPr>
        <w:t>means Rule 144 under the Securities Act or any similar rule or regulation hereafter adopted by the SEC as a replacement thereto having substantially the same effect as such Rule.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U.S. Securities and Exchange Commission.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of any Person means another Person (i) in which such first Person’s beneficial ownership of Voting Securities, other voting ownership or voting partnership interests is in an amount sufficient to elect at least a majority of its board of directors or other governing body (or, if there are no such voting interests, 50% or more of the equity interests of which are beneficially owned directly or indirectly by such first Person) or (ii) which is required to be consolidated with such Person under U.S. generally accepted accounting principles.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Third Party</w:t>
      </w:r>
      <w:r>
        <w:rPr>
          <w:caps w:val="false"/>
          <w:smallCaps w:val="false"/>
        </w:rPr>
        <w:t xml:space="preserve">” </w:t>
      </w:r>
      <w:r>
        <w:rPr>
          <w:rFonts w:ascii="Times New Roman PS Std;serif" w:hAnsi="Times New Roman PS Std;serif"/>
          <w:b w:val="false"/>
          <w:i w:val="false"/>
          <w:caps w:val="false"/>
          <w:smallCaps w:val="false"/>
          <w:sz w:val="20"/>
        </w:rPr>
        <w:t>means any Person other than the Company, the Investors or any of their respective Affiliates.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any security, any sale, assignment, transfer, distribution or other disposition thereof, or other conveyance, creation, incurrence or assumption of a legal or beneficial interest therein, or a participation or Encumbrance therein, or creation of any short position in any such security or any other action or position otherwise reducing risk related to ownership through hedging or other derivative instrument, whether voluntarily or by operation of Law, whether in a single transaction or a series of related transactions;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no event shall a Transfer be deemed to include any transfer to a brokerage account where the Investor is the beneficial owner of the brokerage account and of the securities contained therein. The terms “</w:t>
      </w:r>
      <w:r>
        <w:rPr>
          <w:rFonts w:ascii="Times New Roman PS Std;serif" w:hAnsi="Times New Roman PS Std;serif"/>
          <w:b w:val="false"/>
          <w:i w:val="false"/>
          <w:caps w:val="false"/>
          <w:smallCaps w:val="false"/>
          <w:sz w:val="20"/>
          <w:u w:val="single"/>
        </w:rPr>
        <w:t>Transferred</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Transferring</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Transferee</w:t>
      </w:r>
      <w:r>
        <w:rPr>
          <w:caps w:val="false"/>
          <w:smallCaps w:val="false"/>
        </w:rPr>
        <w:t xml:space="preserve">” </w:t>
      </w:r>
      <w:r>
        <w:rPr>
          <w:rFonts w:ascii="Times New Roman PS Std;serif" w:hAnsi="Times New Roman PS Std;serif"/>
          <w:b w:val="false"/>
          <w:i w:val="false"/>
          <w:caps w:val="false"/>
          <w:smallCaps w:val="false"/>
          <w:sz w:val="20"/>
        </w:rPr>
        <w:t>have meanings correlative to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Underwriter</w:t>
      </w:r>
      <w:r>
        <w:rPr>
          <w:caps w:val="false"/>
          <w:smallCaps w:val="false"/>
        </w:rPr>
        <w:t xml:space="preserve">” </w:t>
      </w:r>
      <w:r>
        <w:rPr>
          <w:rFonts w:ascii="Times New Roman PS Std;serif" w:hAnsi="Times New Roman PS Std;serif"/>
          <w:b w:val="false"/>
          <w:i w:val="false"/>
          <w:caps w:val="false"/>
          <w:smallCaps w:val="false"/>
          <w:sz w:val="20"/>
        </w:rPr>
        <w:t>means, with respect to any Underwritten Offering, a securities dealer who purchases any Registrable Securities as a principal in connection with a distribution of such Registrable Securities and not as part of such dealer’s market-making activities.</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Underwritten Offering</w:t>
      </w:r>
      <w:r>
        <w:rPr>
          <w:caps w:val="false"/>
          <w:smallCaps w:val="false"/>
        </w:rPr>
        <w:t xml:space="preserve">” </w:t>
      </w:r>
      <w:r>
        <w:rPr>
          <w:rFonts w:ascii="Times New Roman PS Std;serif" w:hAnsi="Times New Roman PS Std;serif"/>
          <w:b w:val="false"/>
          <w:i w:val="false"/>
          <w:caps w:val="false"/>
          <w:smallCaps w:val="false"/>
          <w:sz w:val="20"/>
        </w:rPr>
        <w:t>means a Public Offering in which an Underwriter, placement agent or other intermediary participates in the distribution of such securities.</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Voting Securities</w:t>
      </w:r>
      <w:r>
        <w:rPr>
          <w:caps w:val="false"/>
          <w:smallCaps w:val="false"/>
        </w:rPr>
        <w:t xml:space="preserve">” </w:t>
      </w:r>
      <w:r>
        <w:rPr>
          <w:rFonts w:ascii="Times New Roman PS Std;serif" w:hAnsi="Times New Roman PS Std;serif"/>
          <w:b w:val="false"/>
          <w:i w:val="false"/>
          <w:caps w:val="false"/>
          <w:smallCaps w:val="false"/>
          <w:sz w:val="20"/>
        </w:rPr>
        <w:t>of any Person means securities having the right to vote generally in any election of directors or comparable governing Persons of such Person. The percentage of Voting Securities of any Person owned by any holder or holders shall equal the percentage represented by the quotient of (i) the aggregate voting power of all Voting Securities of such Person beneficially owned by such holder or holders and (ii) the aggregate voting power of all outstanding Voting Securities of such Person.</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Warrants</w:t>
      </w:r>
      <w:r>
        <w:rPr>
          <w:caps w:val="false"/>
          <w:smallCaps w:val="false"/>
        </w:rPr>
        <w:t xml:space="preserve">” </w:t>
      </w:r>
      <w:r>
        <w:rPr>
          <w:rFonts w:ascii="Times New Roman PS Std;serif" w:hAnsi="Times New Roman PS Std;serif"/>
          <w:b w:val="false"/>
          <w:i w:val="false"/>
          <w:caps w:val="false"/>
          <w:smallCaps w:val="false"/>
          <w:sz w:val="20"/>
        </w:rPr>
        <w:t>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 in each case as converted, exchanged or otherwise modified in connection with the transactions contemplated by the Merger Agreement such that, following the Closing, each such Warrant represents the right to acquire shares of Common Stock in accordance with its terms.</w:t>
      </w:r>
    </w:p>
    <w:p>
      <w:pPr>
        <w:pStyle w:val="TextBody"/>
        <w:keepNext w:val="true"/>
        <w:widowControl/>
        <w:pBdr/>
        <w:bidi w:val="0"/>
        <w:spacing w:before="14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          As used in this Agreement, the terms set forth below will have the meanings assigned in the corresponding Section listed below:</w:t>
      </w:r>
    </w:p>
    <w:tbl>
      <w:tblPr>
        <w:tblW w:w="5308" w:type="dxa"/>
        <w:jc w:val="left"/>
        <w:tblInd w:w="0" w:type="dxa"/>
        <w:tblLayout w:type="fixed"/>
        <w:tblCellMar>
          <w:top w:w="0" w:type="dxa"/>
          <w:left w:w="0" w:type="dxa"/>
          <w:bottom w:w="0" w:type="dxa"/>
          <w:right w:w="0" w:type="dxa"/>
        </w:tblCellMar>
      </w:tblPr>
      <w:tblGrid>
        <w:gridCol w:w="3271"/>
        <w:gridCol w:w="146"/>
        <w:gridCol w:w="1891"/>
      </w:tblGrid>
      <w:tr>
        <w:trPr/>
        <w:tc>
          <w:tcPr>
            <w:tcW w:w="3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p>
        </w:tc>
        <w:tc>
          <w:tcPr>
            <w:tcW w:w="146" w:type="dxa"/>
            <w:tcBorders/>
            <w:vAlign w:val="bottom"/>
          </w:tcPr>
          <w:p>
            <w:pPr>
              <w:pStyle w:val="TableContents"/>
              <w:bidi w:val="0"/>
              <w:spacing w:before="0" w:after="283"/>
              <w:jc w:val="left"/>
              <w:rPr/>
            </w:pPr>
            <w:r>
              <w:rPr/>
              <w:t> </w:t>
            </w:r>
          </w:p>
        </w:tc>
        <w:tc>
          <w:tcPr>
            <w:tcW w:w="18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Agreement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Closing</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Common Stock</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 Subsidiaries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Confidential Information</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3.13(a)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Consent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Contract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Deferral Period</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 Notice</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 Offering</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Registration Statement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Demanding Key Holder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indemnified party</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2.08(c)</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Indemnified Persons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indemnifying party</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2.08(c)</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Inspectors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2.04(a)(x)</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Investors’ Representative</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Joinder Agreement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Joining Party</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Liens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Lock-up</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2.09</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Losses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Merger Agreement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NTC Investor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Other Investor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Piggyback Notice</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Piggyback Offering</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Records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2.04(a)(x)</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Registration Rights Agreement</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Required Financial Statements</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2.06(b)</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II</w:t>
      </w:r>
      <w:r>
        <w:rPr>
          <w:rFonts w:ascii="Times New Roman;serif" w:hAnsi="Times New Roman;serif"/>
          <w:b w:val="false"/>
          <w:i w:val="false"/>
          <w:caps w:val="false"/>
          <w:smallCaps w:val="false"/>
          <w:sz w:val="20"/>
          <w:u w:val="single"/>
        </w:rPr>
        <w:br/>
        <w:br/>
      </w:r>
      <w:r>
        <w:rPr>
          <w:rFonts w:ascii="Times New Roman PS Std;serif" w:hAnsi="Times New Roman PS Std;serif"/>
          <w:b w:val="false"/>
          <w:i w:val="false"/>
          <w:caps w:val="false"/>
          <w:smallCaps w:val="false"/>
          <w:sz w:val="20"/>
          <w:u w:val="single"/>
        </w:rPr>
        <w:t>Registration Rights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2.01.          </w:t>
      </w:r>
      <w:r>
        <w:rPr>
          <w:rFonts w:ascii="Times New Roman PS Std;serif" w:hAnsi="Times New Roman PS Std;serif"/>
          <w:b w:val="false"/>
          <w:i w:val="false"/>
          <w:caps w:val="false"/>
          <w:smallCaps w:val="false"/>
          <w:sz w:val="20"/>
          <w:u w:val="single"/>
        </w:rPr>
        <w:t>Registration and Underwritten Offerings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From and after the date of this Agreement, upon the written request (a “</w:t>
      </w:r>
      <w:r>
        <w:rPr>
          <w:rFonts w:ascii="Times New Roman PS Std;serif" w:hAnsi="Times New Roman PS Std;serif"/>
          <w:b w:val="false"/>
          <w:i w:val="false"/>
          <w:caps w:val="false"/>
          <w:smallCaps w:val="false"/>
          <w:sz w:val="20"/>
          <w:u w:val="single"/>
        </w:rPr>
        <w:t>Demand Notice</w:t>
      </w:r>
      <w:r>
        <w:rPr>
          <w:caps w:val="false"/>
          <w:smallCaps w:val="false"/>
        </w:rPr>
        <w:t>”</w:t>
      </w:r>
      <w:r>
        <w:rPr>
          <w:rFonts w:ascii="Times New Roman PS Std;serif" w:hAnsi="Times New Roman PS Std;serif"/>
          <w:b w:val="false"/>
          <w:i w:val="false"/>
          <w:caps w:val="false"/>
          <w:smallCaps w:val="false"/>
          <w:sz w:val="20"/>
        </w:rPr>
        <w:t>) of any Key Holder (a “</w:t>
      </w:r>
      <w:r>
        <w:rPr>
          <w:rFonts w:ascii="Times New Roman PS Std;serif" w:hAnsi="Times New Roman PS Std;serif"/>
          <w:b w:val="false"/>
          <w:i w:val="false"/>
          <w:caps w:val="false"/>
          <w:smallCaps w:val="false"/>
          <w:sz w:val="20"/>
          <w:u w:val="single"/>
        </w:rPr>
        <w:t>Demanding Key Holder</w:t>
      </w:r>
      <w:r>
        <w:rPr>
          <w:caps w:val="false"/>
          <w:smallCaps w:val="false"/>
        </w:rPr>
        <w:t>”</w:t>
      </w:r>
      <w:r>
        <w:rPr>
          <w:rFonts w:ascii="Times New Roman PS Std;serif" w:hAnsi="Times New Roman PS Std;serif"/>
          <w:b w:val="false"/>
          <w:i w:val="false"/>
          <w:caps w:val="false"/>
          <w:smallCaps w:val="false"/>
          <w:sz w:val="20"/>
        </w:rPr>
        <w:t>) requesting that the Company effect a Public Offering of Registrable Securities directly or indirectly held by the Demanding Key Holder (a “</w:t>
      </w:r>
      <w:r>
        <w:rPr>
          <w:rFonts w:ascii="Times New Roman PS Std;serif" w:hAnsi="Times New Roman PS Std;serif"/>
          <w:b w:val="false"/>
          <w:i w:val="false"/>
          <w:caps w:val="false"/>
          <w:smallCaps w:val="false"/>
          <w:sz w:val="20"/>
          <w:u w:val="single"/>
        </w:rPr>
        <w:t>Demand Offering</w:t>
      </w:r>
      <w:r>
        <w:rPr>
          <w:caps w:val="false"/>
          <w:smallCaps w:val="false"/>
        </w:rPr>
        <w:t>”</w:t>
      </w:r>
      <w:r>
        <w:rPr>
          <w:rFonts w:ascii="Times New Roman PS Std;serif" w:hAnsi="Times New Roman PS Std;serif"/>
          <w:b w:val="false"/>
          <w:i w:val="false"/>
          <w:caps w:val="false"/>
          <w:smallCaps w:val="false"/>
          <w:sz w:val="20"/>
        </w:rPr>
        <w:t>), the Company shall (i) as promptly as reasonably practicable file a Registration Statement (a “</w:t>
      </w:r>
      <w:r>
        <w:rPr>
          <w:rFonts w:ascii="Times New Roman PS Std;serif" w:hAnsi="Times New Roman PS Std;serif"/>
          <w:b w:val="false"/>
          <w:i w:val="false"/>
          <w:caps w:val="false"/>
          <w:smallCaps w:val="false"/>
          <w:sz w:val="20"/>
          <w:u w:val="single"/>
        </w:rPr>
        <w:t>Demand Registration Statement</w:t>
      </w:r>
      <w:r>
        <w:rPr>
          <w:caps w:val="false"/>
          <w:smallCaps w:val="false"/>
        </w:rPr>
        <w:t>”</w:t>
      </w:r>
      <w:r>
        <w:rPr>
          <w:rFonts w:ascii="Times New Roman PS Std;serif" w:hAnsi="Times New Roman PS Std;serif"/>
          <w:b w:val="false"/>
          <w:i w:val="false"/>
          <w:caps w:val="false"/>
          <w:smallCaps w:val="false"/>
          <w:sz w:val="20"/>
        </w:rPr>
        <w:t xml:space="preserve">), as specified in the Demand Notice for such Demand Offering, relating to such Demand Offering and (ii) use its commercially reasonable efforts to (A) cause such Demand Registration Statement to be declared effective under the Securities Act within 60 days and remain effective for not less than 180 days (or such shorter period as will terminate when all Registrable Securities covered by such Demand Registration Statement have been sold or withdrawn), or, if such Demand Registration Statement relates to a Demand Offering that is an Underwritten Offering, such longer period as in the opinion of counsel for the Underwriter or Underwriters a prospectus is required by law to be delivered in connection with sales of Registrable Securities by an Underwriter or dealer and (B) effect, as promptly as reasonably practicable following the effectiveness of such Demand Registration Statement, such Demand Offering of such Registrable Securities in accordance with such Demand Notice;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  with respect to any Registrable Securities, the Company shall be obligated to effect no more than one Demand Offering that is an Underwritten Offering in any 90-day period (for the avoidance of doubt, the Demanding Key Holder shall be entitled to an unlimited number of Demand Offerings that are not Underwritten Offerings) and (y) the Registrable Securities for which a Demand Offering has been requested will have a value (based on the average closing price per share of Common Stock for the ten trading days preceding the delivery of such Demand Notice) of not less than $40,000,000 unless a lesser amount is then held by the Demanding Key Holder. Each such Demand Notice will specify the number of Registrable Securities owned by the Demanding Key Holder and the number of Registrable Securities proposed to be offered for sale and will also specify the intended method of distribution thereof. The Company will not include in any Demand Offering pursuant to this Section 2.01(a) any securities that are not Registrable Securities without the prior written consent of the Demanding Key 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the event of a Demand Offering that is an Underwritten Offering, the Underwriters (including the lead Underwriter) for such Demand Offering will be a nationally recognized investment bank selected by the Investors holding a majority of Registrable Securities to be included in such Demand Offering;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managing underwriter or underwriters shall be reasonably acceptable to the Company, such acceptance not to be unreasonably withheld, conditioned or delayed.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in this Agreement, a Demanding Key Holder may not request a Demand Offering during a period commencing upon the date of the public announcement of (or such earlier date that is not more than 30 days prior to such public announcement if the Company has given notice to the Investors’ Representative that it so intends to publicly announce) an Underwritten Offering of Common Stock by the Company (for its own account or for any other security holder in each case provided the Investors are entitled to participate in such offering pursuant to Section 2.02) and ending on the earliest of (i) 90 days after the consummation of such Underwritten Offering, (ii) 30 days after the Company has given notice to the Investors’ Representative that it intends to publicly announce an Underwritten Offering if no such Underwritten Offering has been publicly announced within such 30-day period, (iii) upon withdrawal of such Underwritten Offering if it has been publicly announced but not commenced or (iv) upon written notice to the Investors’ Representative that the Company no longer intends to conduct an Underwritten Offering.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Demanding Key Holder shall be permitted to rescind a Demand Notice or request the removal of any Registrable Securities held by them from any Demand Offering at any time (in the event the Demanding Key Holder determines in good faith to withdraw (prior to the effective date of the Demand Registration Statement relating to such request) a Demand Notice due to marketing conditions or regulatory reasons prior to the execution of an underwriting agreement or purchase agreement relating to such request, it would not constitute a Demand Offering). Upon receipt of a notice to such effect from a Demanding Key Holder (or if there is more than one Demanding Key Holder, from all such Demanding Key Holders) with respect to all of the Registrable Securities included by such Demanding Key Holder(s) in such Demand Offering, the Company shall cease all efforts to secure effectiveness of the applicable Demand Registration Statement. Further, any Demand Offering in which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Demanding Key Holder is subject to cutback in accordance with Section 2.03 in excess of 25% of the Registrable Securities it requested to register shall not be considered as exercised for purposes of Section 2.01(a).</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2.02.          </w:t>
      </w:r>
      <w:r>
        <w:rPr>
          <w:rFonts w:ascii="Times New Roman PS Std;serif" w:hAnsi="Times New Roman PS Std;serif"/>
          <w:b w:val="false"/>
          <w:i w:val="false"/>
          <w:caps w:val="false"/>
          <w:smallCaps w:val="false"/>
          <w:sz w:val="20"/>
          <w:u w:val="single"/>
        </w:rPr>
        <w:t>Piggyback Offering</w:t>
      </w:r>
      <w:r>
        <w:rPr>
          <w:rFonts w:ascii="Times New Roman PS Std;serif" w:hAnsi="Times New Roman PS Std;serif"/>
          <w:b w:val="false"/>
          <w:i w:val="false"/>
          <w:caps w:val="false"/>
          <w:smallCaps w:val="false"/>
          <w:sz w:val="20"/>
        </w:rPr>
        <w:t>. If the Company at any time proposes to file a Registration Statement under the Securities Act or to conduct a Public Offering with respect to any offering of its Equity Securities for its own account or for the account of any other Persons (including an offering under Section</w:t>
      </w:r>
      <w:r>
        <w:rPr>
          <w:caps w:val="false"/>
          <w:smallCaps w:val="false"/>
        </w:rPr>
        <w:t> </w:t>
      </w:r>
      <w:r>
        <w:rPr>
          <w:rFonts w:ascii="Times New Roman PS Std;serif" w:hAnsi="Times New Roman PS Std;serif"/>
          <w:b w:val="false"/>
          <w:i w:val="false"/>
          <w:caps w:val="false"/>
          <w:smallCaps w:val="false"/>
          <w:sz w:val="20"/>
        </w:rPr>
        <w:t>2.01(a), but excluding (a)</w:t>
      </w:r>
      <w:r>
        <w:rPr>
          <w:caps w:val="false"/>
          <w:smallCaps w:val="false"/>
        </w:rPr>
        <w:t> </w:t>
      </w:r>
      <w:r>
        <w:rPr>
          <w:rFonts w:ascii="Times New Roman PS Std;serif" w:hAnsi="Times New Roman PS Std;serif"/>
          <w:b w:val="false"/>
          <w:i w:val="false"/>
          <w:caps w:val="false"/>
          <w:smallCaps w:val="false"/>
          <w:sz w:val="20"/>
        </w:rPr>
        <w:t>any registration or offering pursuant to a Registration Statement on Form S-4 or Form S-8 or any successor form to such Forms and (b)</w:t>
      </w:r>
      <w:r>
        <w:rPr>
          <w:caps w:val="false"/>
          <w:smallCaps w:val="false"/>
        </w:rPr>
        <w:t> </w:t>
      </w:r>
      <w:r>
        <w:rPr>
          <w:rFonts w:ascii="Times New Roman PS Std;serif" w:hAnsi="Times New Roman PS Std;serif"/>
          <w:b w:val="false"/>
          <w:i w:val="false"/>
          <w:caps w:val="false"/>
          <w:smallCaps w:val="false"/>
          <w:sz w:val="20"/>
        </w:rPr>
        <w:t>a registration of securities solely relating to an offering and sale to employees or directors of the Company or its Subsidiaries pursuant to any employee stock plan or other employee benefit plan arrangement), then, as soon as practicable (but in no event less than 10 Business Days prior to the proposed date of filing of such Registration Statement or, in the case of any such Public Offering, the anticipated pricing or trade date), the Company shall give written notice (a “</w:t>
      </w:r>
      <w:r>
        <w:rPr>
          <w:rFonts w:ascii="Times New Roman PS Std;serif" w:hAnsi="Times New Roman PS Std;serif"/>
          <w:b w:val="false"/>
          <w:i w:val="false"/>
          <w:caps w:val="false"/>
          <w:smallCaps w:val="false"/>
          <w:sz w:val="20"/>
          <w:u w:val="single"/>
        </w:rPr>
        <w:t>Piggyback Notice</w:t>
      </w:r>
      <w:r>
        <w:rPr>
          <w:caps w:val="false"/>
          <w:smallCaps w:val="false"/>
        </w:rPr>
        <w:t>”</w:t>
      </w:r>
      <w:r>
        <w:rPr>
          <w:rFonts w:ascii="Times New Roman PS Std;serif" w:hAnsi="Times New Roman PS Std;serif"/>
          <w:b w:val="false"/>
          <w:i w:val="false"/>
          <w:caps w:val="false"/>
          <w:smallCaps w:val="false"/>
          <w:sz w:val="20"/>
        </w:rPr>
        <w:t>) of such proposed filing or Public Offering to the Investors, and such Piggyback Notice shall offer the Investors the opportunity to register under such Registration Statement, or to sell in such Public Offering, such number of Registrable Securities as each such Investor may request in writing (a “</w:t>
      </w:r>
      <w:r>
        <w:rPr>
          <w:rFonts w:ascii="Times New Roman PS Std;serif" w:hAnsi="Times New Roman PS Std;serif"/>
          <w:b w:val="false"/>
          <w:i w:val="false"/>
          <w:caps w:val="false"/>
          <w:smallCaps w:val="false"/>
          <w:sz w:val="20"/>
          <w:u w:val="single"/>
        </w:rPr>
        <w:t>Piggyback Offering</w:t>
      </w:r>
      <w:r>
        <w:rPr>
          <w:caps w:val="false"/>
          <w:smallCaps w:val="false"/>
        </w:rPr>
        <w:t>”</w:t>
      </w:r>
      <w:r>
        <w:rPr>
          <w:rFonts w:ascii="Times New Roman PS Std;serif" w:hAnsi="Times New Roman PS Std;serif"/>
          <w:b w:val="false"/>
          <w:i w:val="false"/>
          <w:caps w:val="false"/>
          <w:smallCaps w:val="false"/>
          <w:sz w:val="20"/>
        </w:rPr>
        <w:t>). Subject to Section</w:t>
      </w:r>
      <w:r>
        <w:rPr>
          <w:caps w:val="false"/>
          <w:smallCaps w:val="false"/>
        </w:rPr>
        <w:t> </w:t>
      </w:r>
      <w:r>
        <w:rPr>
          <w:rFonts w:ascii="Times New Roman PS Std;serif" w:hAnsi="Times New Roman PS Std;serif"/>
          <w:b w:val="false"/>
          <w:i w:val="false"/>
          <w:caps w:val="false"/>
          <w:smallCaps w:val="false"/>
          <w:sz w:val="20"/>
        </w:rPr>
        <w:t xml:space="preserve">2.03, the Company shall include in such Registration Statement or in such Public Offering, as applicable, all such Registrable Securities that are requested to be included therein within three Business Days after the receipt by the Investors of any such notice;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at any time after giving written notice of its intention to register or sell any securities and prior to the effective date of the Registration Statement filed in connection with such registration, or the pricing or trade date of such Public Offering, the Company shall determine for any reason not to register or sell or to delay registration or the sale of such securities, the Company shall give written notice of such determination to the Investors and, thereupon, (i)</w:t>
      </w:r>
      <w:r>
        <w:rPr>
          <w:caps w:val="false"/>
          <w:smallCaps w:val="false"/>
        </w:rPr>
        <w:t> </w:t>
      </w:r>
      <w:r>
        <w:rPr>
          <w:rFonts w:ascii="Times New Roman PS Std;serif" w:hAnsi="Times New Roman PS Std;serif"/>
          <w:b w:val="false"/>
          <w:i w:val="false"/>
          <w:caps w:val="false"/>
          <w:smallCaps w:val="false"/>
          <w:sz w:val="20"/>
        </w:rPr>
        <w:t>in the case of a determination not to register or sell, shall be relieved of its obligation to register or sell any Registrable Securities in connection with such registration or Public Offering (but not from its obligation to pay the Offering Expenses in connection therewith) and (ii)</w:t>
      </w:r>
      <w:r>
        <w:rPr>
          <w:caps w:val="false"/>
          <w:smallCaps w:val="false"/>
        </w:rPr>
        <w:t> </w:t>
      </w:r>
      <w:r>
        <w:rPr>
          <w:rFonts w:ascii="Times New Roman PS Std;serif" w:hAnsi="Times New Roman PS Std;serif"/>
          <w:b w:val="false"/>
          <w:i w:val="false"/>
          <w:caps w:val="false"/>
          <w:smallCaps w:val="false"/>
          <w:sz w:val="20"/>
        </w:rPr>
        <w:t>in the case of a determination to delay registration or sale, shall be permitted to delay registering or selling any Registrable Securities, for the same period as the delay in registering or selling such other securities. If the offering pursuant to such Registration Statement or Public Offering is to be an Underwritten Offering, then each Investor making a request for a Piggyback Offering pursuant to this Section</w:t>
      </w:r>
      <w:r>
        <w:rPr>
          <w:caps w:val="false"/>
          <w:smallCaps w:val="false"/>
        </w:rPr>
        <w:t> </w:t>
      </w:r>
      <w:r>
        <w:rPr>
          <w:rFonts w:ascii="Times New Roman PS Std;serif" w:hAnsi="Times New Roman PS Std;serif"/>
          <w:b w:val="false"/>
          <w:i w:val="false"/>
          <w:caps w:val="false"/>
          <w:smallCaps w:val="false"/>
          <w:sz w:val="20"/>
        </w:rPr>
        <w:t>2.02 shall, and the Company shall, make such arrangements with the managing Underwriter or Underwriters so that each such Investor may participate in such Underwritten Offering. If the offering pursuant to such Registration Statement or Public Offering is to be on any other basis, then each Investor making a request for a Piggyback Offering pursuant to this Section</w:t>
      </w:r>
      <w:r>
        <w:rPr>
          <w:caps w:val="false"/>
          <w:smallCaps w:val="false"/>
        </w:rPr>
        <w:t> </w:t>
      </w:r>
      <w:r>
        <w:rPr>
          <w:rFonts w:ascii="Times New Roman PS Std;serif" w:hAnsi="Times New Roman PS Std;serif"/>
          <w:b w:val="false"/>
          <w:i w:val="false"/>
          <w:caps w:val="false"/>
          <w:smallCaps w:val="false"/>
          <w:sz w:val="20"/>
        </w:rPr>
        <w:t xml:space="preserve">2.02 shall, and the Company shall, make such arrangements so that each such Investor may participate in such offering on such basis. Any Investor shall have the right to withdraw all or part of its request for inclusion of its Registrable Securities in a Piggyback Offering by giving written notice to the Company of its request to withdraw;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request must be made in writing prior to the effectiveness of such Registration Statement or, in the case of a Public Offering, at least three Business Days prior to the earlier of the anticipated filing of the “red herring” prospectus, if applicable, and the anticipated pricing or trade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2.03.          </w:t>
      </w:r>
      <w:r>
        <w:rPr>
          <w:rFonts w:ascii="Times New Roman PS Std;serif" w:hAnsi="Times New Roman PS Std;serif"/>
          <w:b w:val="false"/>
          <w:i w:val="false"/>
          <w:caps w:val="false"/>
          <w:smallCaps w:val="false"/>
          <w:sz w:val="20"/>
          <w:u w:val="single"/>
        </w:rPr>
        <w:t>Reduction of Underwritten Offering</w:t>
      </w:r>
      <w:r>
        <w:rPr>
          <w:rFonts w:ascii="Times New Roman PS Std;serif" w:hAnsi="Times New Roman PS Std;serif"/>
          <w:b w:val="false"/>
          <w:i w:val="false"/>
          <w:caps w:val="false"/>
          <w:smallCaps w:val="false"/>
          <w:sz w:val="20"/>
        </w:rPr>
        <w:t xml:space="preserve">. Notwithstanding anything to the contrary in this Agreement, if the lead Underwriter of an Underwritten Offering described in Section 2.01 or Section 2.02 advises the Company in writing that in its reasonable opinion, the number of Equity Securities of the Company (including any Registrable Securities) that the Company, the Investors and any other Persons intend to include in any Underwritten Offering is such that the success of any such Underwritten Offering would be materially and adversely affected, including the price at which the securities can be sold or the number of Equity Securities of the Company that any participant may sell, then the number of Equity Securities of the Company to be included in the Underwritten Offering for the account of the Company, the Investors and any other Persons will be reduced pro rata by proposed participation (unless otherwise provided below) in the Underwritten Offering to the extent necessary to reduce the total number of securities to be included in any such Underwritten Offering to the number recommended by such lead Underwriter;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 priority for inclusion of Equity Securities of the Company in a Demand Offering pursuant to Section 2.01 will be (i) first to be included, the Registrable Securities requested to be included in the Demand Offering for the account of the Demanding Key Holder and Registrable Securities of the Company requested to be included for the account of Investors pursuant to Section 2.02 (pro rata for the Demanding Key Holder and such other Investors based on then ownership of Voting Securities of the Company) and (ii) second to be included, securities of the Company (pro rata based on then ownership of Voting Securities of the Company) requested to be included for the account of other holders having contractual piggyback registrations rights (other than the Investors), so that the total number of securities to be included in any such Demand Offering for the account of all such Persons (including the Investors) will not exceed the number recommended by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Underwriter; (b) priority in the case of an Underwritten Offering initiated by the Company for its own account which gives rise to a Piggyback Offering pursuant to Section 2.02 will be (i) first to be included, securities initially proposed to be offered by the Company for its own account, (ii) second to be included, the Registrable Securities requested to be included in the Piggyback Offering for the account of the Investors (pro rata based on then ownership of Voting Securities of the Company) and (iii) third to be included, securities of the Company requested to be included in the Piggyback Offering for the account of other holders having contractual piggyback registrations rights (other than the Investors), so that the total number of securities to be included in any such offering for the account of all such Persons (including the Investors) will not exceed the number recommended by such lead Underwriter; and (c) priority with respect to inclusion of securities in an Underwritten Offering initiated by the Company for the account of holders other than the Investors pursuant to contractual rights afforded such holders will be (i) first to be included, securities (including Registrable Securities) of the Company (pro rata by proposed participation) requested to be included in the Underwritten Offering for the account of such initiating holders, (ii) second to be included, securities of the Company requested to be included in such Underwritten Offering for the account of other holders having contractual piggyback registrations rights (in the case of the Key Holders and the other Investors, including the Investors pursuant to Section 2.02) (pro rata based on then ownership of Voting Securities of the Company) and (iii) third to be included, securities requested to be included in such Underwritten Offering by the Company for its own account, so that the total number of securities to be included in any such offering for the account of all such Persons (including the Investors) will not exceed the number recommended by such lead Underwriter.</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SECTION 2.04.          </w:t>
      </w:r>
      <w:r>
        <w:rPr>
          <w:rFonts w:ascii="Times New Roman PS Std;serif" w:hAnsi="Times New Roman PS Std;serif"/>
          <w:b w:val="false"/>
          <w:i w:val="false"/>
          <w:caps w:val="false"/>
          <w:smallCaps w:val="false"/>
          <w:sz w:val="20"/>
          <w:u w:val="single"/>
        </w:rPr>
        <w:t>Registration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provisions of Section 2.01 and Section 2.02 hereof, in connection with the registration of the sale of Registrable Securities hereunder, the Company will as promptly as reasonably practicable:</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furnish to the Investors’ Representative and the Demanding Key Holder (in the case of Demand Offerings) without charge, if requested, prior to the filing of a Registration Statement or any related prospectus or any amendment or supplement thereto, (A) copies of all such documents proposed to be filed (in each case including all exhibits thereto and documents incorporated by reference therein, except to the extent such exhibits or documents are incorporated by reference and currently available electronically on EDGAR or any successor system of the SEC), which documents (other than those incorporated by reference) will be subject to the review and good faith objection and comment of the Investors’ Representative, Demanding Key Holder (in the case of Demand Offerings) and their counsel prior to filing, (B) copies of any and all transmittal letters or other correspondence with the SEC relating to such documents (except to the extent such letters or correspondence is currently available electronically via EDGAR or any successor system of the SEC) and (C) such other documents as the Investors’ Representative or Demanding Key Holder (in the case of Demand Offerings) may reasonably request, in each case in such quantities as the Investors’ Representative or Demanding Key Holder may reasonably request;</w:t>
      </w:r>
    </w:p>
    <w:p>
      <w:pPr>
        <w:pStyle w:val="TextBody"/>
        <w:widowControl/>
        <w:pBdr/>
        <w:bidi w:val="0"/>
        <w:spacing w:before="160" w:after="283"/>
        <w:ind w:left="1440" w:right="0" w:firstLine="720"/>
        <w:jc w:val="left"/>
        <w:rPr/>
      </w:pPr>
      <w:r>
        <w:rPr>
          <w:rFonts w:ascii="Times New Roman PS Std;serif" w:hAnsi="Times New Roman PS Std;serif"/>
          <w:b w:val="false"/>
          <w:i w:val="false"/>
          <w:caps w:val="false"/>
          <w:smallCaps w:val="false"/>
          <w:sz w:val="20"/>
        </w:rPr>
        <w:t xml:space="preserve">(ii)         use its commercially reasonable efforts to (A) prepare and file with the SEC such amendments, including post-effective amendments, and supplements to each Registration Statement and the prospectus used in connection with the offer and sale of the Registrable Securities as may be necessary under applicable law with respect to the disposition of all Registrable Securities covered by such Registration Statement to keep such Registration Statement continuously effective as to the applicable Registrable Securities for the period such Registration Statement is required to remain effective pursuant to </w:t>
      </w:r>
      <w:r>
        <w:rPr>
          <w:rFonts w:ascii="Times New Roman PS Std;serif" w:hAnsi="Times New Roman PS Std;serif"/>
          <w:b w:val="false"/>
          <w:i w:val="false"/>
          <w:caps w:val="false"/>
          <w:smallCaps w:val="false"/>
          <w:sz w:val="20"/>
          <w:u w:val="single"/>
        </w:rPr>
        <w:t>Section 2.01(a)</w:t>
      </w:r>
      <w:r>
        <w:rPr>
          <w:caps w:val="false"/>
          <w:smallCaps w:val="false"/>
        </w:rPr>
        <w:t xml:space="preserve"> </w:t>
      </w:r>
      <w:r>
        <w:rPr>
          <w:rFonts w:ascii="Times New Roman PS Std;serif" w:hAnsi="Times New Roman PS Std;serif"/>
          <w:b w:val="false"/>
          <w:i w:val="false"/>
          <w:caps w:val="false"/>
          <w:smallCaps w:val="false"/>
          <w:sz w:val="20"/>
        </w:rPr>
        <w:t>in accordance with the Investors’ intended method of distribution set forth in such Registration Statement for such period, (B) cause the related prospectus to be amended or supplemented by any required prospectus supplement, and as so supplemented or amended to be filed pursuant to Rule 424 under the Securities Act and (C) respond as promptly as reasonably practicable to any comments received from the SEC with respect to each Registration Statement or any amendment thereto;</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use its commercially reasonable efforts to register or qualify such Registrable Securities under such other securities or blue sky laws of such jurisdictions as the Investors’ Representative or the Demanding Key Holder (in the case of Demand Offerings) reasonably requests or as may be necessary by virtue of the business and operations of the Company and its Subsidiaries and do any and all other acts and things as may be reasonably necessary or advisable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 xml:space="preserve">to enable the Investors to consummate the disposition of such Registrable Securities in such jurisdictions;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neither the Company nor any of its Subsidiaries will be required to (A) qualify generally to do business in any jurisdiction where it would not otherwise be required to qualify but for this Section 2.04(a)(iii), (B) subject itself to taxation in any such jurisdiction or (C) consent to general service of process in any such jurisdiction;</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notify the Investors’ Representative and the Demanding Key Holder (in the case of Demand Offerings), at any time when a prospectus relating to Registrable Securities is required to be delivered under the Securities Act, of the happening of any event as a result of which the prospectus included in a Registration Statement or the Registration Statement or amendment or supplement relating to such Registrable Securities contains an untrue statement of a material fact or omits to state any material fact required to be stated therein or necessary to make the statements therein, in the light of the circumstances under which they were made, not misleading, and the Company will promptly prepare and file with the SEC a supplement or amendment to such prospectus and Registration Statement (and comply fully with the applicable provisions of Rules 424, 430A and 430B under the Securities Act in a timely manner) so that, as thereafter delivered to the purchasers of the Registrable Securities, such prospectus and Registration Statement will not contain an untrue statement of a material fact or omit to state any material fact required to be stated therein or necessary to make the statements therein, in the light of the circumstances under which they were made, not misleading;</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advise the Underwriters, if any, and the Investors’ Representative and the Demanding Key Holder (in the case of Demand Offerings) promptly and, if requested by such Persons, confirm such advice in writing, of the issuance by the SEC of any stop order suspending the effectiveness of the Registration Statement under the Securities Act or of the suspension by any state securities commission of the qualification of the Registrable Securities for offering or sale in any jurisdiction, or the initiation or threatening in writing of any proceeding for any of the preceding purposes;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use its commercially reasonable efforts to avoid the issuance of or, if issued, obtain the withdrawal of (A) any order suspending the effectiveness of a Registration Statement or (B) any suspension of the qualification (or exemption from qualification) of any of the Registrable Securities for sale in any jurisdiction, as promptly as reasonably practicable;</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in connection with a Demand Offering, enter into customary agreements and use commercially reasonable efforts to take such other actions as are reasonably requested by the Demanding Key Holder in order to expedite or facilitate the disposition of such Registrable Securities in such Demand Offering, including, subject to Section 2.01(a), preparing for and participating in road shows and all such other customary selling and marketing efforts as the Demanding Key Holder (in the case of Demand Offerings) or Underwriters, if any, reasonably request in order to expedite or facilitate such disposition;</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if requested by the Investors’ Representative, the Demanding Key Holder (in the case of Demand Offerings) or the Underwriters, if any, promptly include in any Registration Statement or prospectus, pursuant to a supplement or post-effective amendment if necessary, such information as the Investors’ Representative and the Demanding Key Holder or Underwriters, if any, may reasonably request to have included therein, including information relating to the “Plan of Distribution” of the Registrable Securities, information with respect to the number of Registrable Securities being sold to such Underwriters, the purchase price being paid therefor and any other terms of the offering of the Registrable Securities to be sold in such offering, and make all required filings of such prospectus supplement or post-effective amendment as soon as practicable after the Company is notified of the matters to be included in such prospectus supplement or post-effective amendment;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(ix)        make available for inspection by the Investors’ Representative, the Demanding Key Holder (in the case of Demand Offerings) and its counsel, any Underwriter participating in any disposition of such Registrable Securities, any attorney for any of the Investors or such Underwriter and any accountant or other agent retained by the Investors or such Underwriter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Inspectors</w:t>
      </w:r>
      <w:r>
        <w:rPr>
          <w:caps w:val="false"/>
          <w:smallCaps w:val="false"/>
        </w:rPr>
        <w:t>”</w:t>
      </w:r>
      <w:r>
        <w:rPr>
          <w:rFonts w:ascii="Times New Roman PS Std;serif" w:hAnsi="Times New Roman PS Std;serif"/>
          <w:b w:val="false"/>
          <w:i w:val="false"/>
          <w:caps w:val="false"/>
          <w:smallCaps w:val="false"/>
          <w:sz w:val="20"/>
        </w:rPr>
        <w:t>) all financial and other records, pertinent corporate documents and properties of the Company and its Subsidiaries (collectively, the “</w:t>
      </w:r>
      <w:r>
        <w:rPr>
          <w:rFonts w:ascii="Times New Roman PS Std;serif" w:hAnsi="Times New Roman PS Std;serif"/>
          <w:b w:val="false"/>
          <w:i w:val="false"/>
          <w:caps w:val="false"/>
          <w:smallCaps w:val="false"/>
          <w:sz w:val="20"/>
          <w:u w:val="single"/>
        </w:rPr>
        <w:t>Records</w:t>
      </w:r>
      <w:r>
        <w:rPr>
          <w:caps w:val="false"/>
          <w:smallCaps w:val="false"/>
        </w:rPr>
        <w:t>”</w:t>
      </w:r>
      <w:r>
        <w:rPr>
          <w:rFonts w:ascii="Times New Roman PS Std;serif" w:hAnsi="Times New Roman PS Std;serif"/>
          <w:b w:val="false"/>
          <w:i w:val="false"/>
          <w:caps w:val="false"/>
          <w:smallCaps w:val="false"/>
          <w:sz w:val="20"/>
        </w:rPr>
        <w:t xml:space="preserve">) as will be reasonably necessary to enable them to conduct customary due diligence with respect to the Company and its Subsidiaries and the related Registration Statement and prospectus, and cause the Representatives of the Company and its Subsidiaries to be made available to the Inspectors for such diligence and supply all information reasonably requested by any such Inspector;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 Records and information obtained hereunder will be used by such Inspector only to conduct such due diligence and (B) Records or information that the Company determines, in good faith, to be confidential will not be disclosed by such Inspector unless (I) the disclosure of such Records or information is necessary to avoid or correct a material misstatement or omission in a Registration Statement or related prospectus, (II) the release of such Records or information is ordered pursuant to a subpoena or other order from a court or governmental authority of competent jurisdiction, (III) necessary for defense in a legal action or (IV) such Inspector enters into a confidentiality agreement (x) in form and substance reasonably satisfactory to the Company and (y) of which the Company is a third-party beneficiary;</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 cause the Representatives of the Company and its Subsidiaries to supply all information reasonably requested by the Investors’ Representative, the Demanding Key Holder (in the case of Demand Offerings) or any Underwriter, attorney, accountant or agent in connection with the Registration Statement and (B) provide the Investors’ Representative, the Demanding Key Holder (in the case of Demand Offerings) and their counsel with the opportunity to participate in the preparation of such Registration Statement and the related prospectus;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in connection with a Demand Offering, use its commercially reasonable efforts to obtain and deliver to each Underwriter, if any, the Demanding Key Holder and the Investors’ Representative a comfort letter from the independent registered public accounting firm for the Company (and additional comfort letters from the independent registered public accounting firm for any company acquired by the Company whose financial statements are included or incorporated by reference in the Registration Statement) in customary form and covering such matters as are customarily covered by comfort letters or as such Underwriter, if any, the Demanding Key Holder and the Investors’ Representative may reasonably request, including (A) that the financial statements included or incorporated by reference in the Registration Statement or the prospectus, or any amendment or supplement thereof, comply as to form in all material respects with the applicable accounting requirements of the Securities Act and (B) as to certain other financial information for the period ending no more than five Business Days prior to the date of such letter;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in connection with a Demand Offering, use its commercially reasonable efforts to obtain and deliver to each Underwriter, if any, the Demanding Key Holder and the Investors’ Representative a 10b-5 statement and legal opinion from the Company’s counsel in customary form and covering such matters as are customarily covered by 10b-5 statements and legal opinions as such Underwriter, if any, the Demanding Key Holder and the Investors’ Representative may reasonably request;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otherwise use its commercially reasonable efforts to comply with all applicable rules and regulations of the SEC, and make generally available to its security holders, within the required time period, an earnings statement (which need not be audited) covering a period of 12 months beginning with the first fiscal quarter after the effective date of the Registration Statement relating to such Registrable Securities (as the term “effective date” is defined in Rule 158(c) under the Securities Act), which earnings statement will satisfy the provisions of Section 11(a) of the Securities Act and Rule 158 thereunder or any successor provisions thereto;</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(xiv)      use its commercially reasonable efforts to cause such Registrable Securities to be listed or quoted on the NYSE American or, if Common Stock are not then listed on the NYSE American, then on any other securities exchange or national quotation system on which similar securities issued by the Company are listed or quoted (or if similar securities are not so listed,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its commercially reasonable efforts to cause all such Registrable Securities to be listed on the NYSE American or on any other national securities exchange or national quotation system as determined by the Company in its sole discretion); and</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use its commercially reasonable efforts to take or cause to be taken all other actions and do and cause to be done all other things necessary or reasonably advisable to effect the registration of such Registrable Securities contemplated hereby.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a Demand Offering that is an Underwritten Offering, (i) the Company and the participating Investors agree to enter into a written agreement with each Underwriter selected in the manner herein provided in such form and containing such provisions as are customary in the securities business for such an arrangement between such Underwriter and companies of the Company’s size and investment stature and, to the extent practicable, on terms consistent with underwriting agreements entered into by the Company (it being understood that, unless required otherwise by the Securities Act or any other Law, the Company will not require any Investor to make any representation, warranty or agreement in such agreement other than with respect to such Investor, the ownership of such Investor’s securities being registered and such Investor’s intended method of disposition) and (ii) the Investors agree to complete and execute all such other documents customary in similar offerings, including any reasonable questionnaires, holdback agreements, letters or other documents customarily required under the terms of such underwriting arrangements (but specifically excluding custody agreements and powers of attorney). In the event a Demand Offering that is an Underwritten Offering is not consummated because any condition to the obligations under any related written agreement with such Underwriter is not met or waived in connection with a Demand Offering, and such failure to be met or waived is not primarily attributable to the fault of the Investors, such Demand Offering will not be deemed exercised.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2.05.          </w:t>
      </w:r>
      <w:r>
        <w:rPr>
          <w:rFonts w:ascii="Times New Roman PS Std;serif" w:hAnsi="Times New Roman PS Std;serif"/>
          <w:b w:val="false"/>
          <w:i w:val="false"/>
          <w:caps w:val="false"/>
          <w:smallCaps w:val="false"/>
          <w:sz w:val="20"/>
          <w:u w:val="single"/>
        </w:rPr>
        <w:t>Conditions to Offerings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with respect to an offering of Registrable Securities for so long as either of the following conditions are not satisfied;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case of clauses (ii) and (iii) below, any such suspension or deferral shall only be permitted with respect to such non-complying Investor: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shall be subject to the requirements of Sections 13, 14 or 15(d) of the Exchange Act;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Company may require the participating Investors to furnish to the Company such information regarding the participating Investors or the distribution of such Registrable Securities as the Company may from time-to-time reasonably request in writing, in each case only as required by the Securities Act or under state securities or blue sky laws; and</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Demand Offering that is an Underwritten Offering, the participating Investors, together with the Company (for the avoidance of doubt, not a condition to its obligations hereunder), will enter into an underwriting agreement in accordance with Section 2.04(b) above with the Underwriter or Underwriters selected for such underwriting, as well as such other documents customary in similar offerings.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Investors agree that, upon receipt of any notice from the Company to such Investor of the happening of any event of the kind described in Section 2.04(a)(iv) or Section 2.04(a)(v) hereof or a condition described in Section 2.06 hereof, such Investors will forthwith discontinue disposition of such Registrable Securities pursuant to the Registration Statement covering the sale of such Registrable Securities until the Investors’ receipt of the copies of the supplemented or amended prospectus contemplated by Section 2.04(a)(iv) hereof or notice from the Company of the termination of the stop order or Deferral Period, and the requesting Investor shall be entitled to withdraw such request and, if such request is withdrawn, such Registration Statement shall not count for the purposes of the limitations set forth in Section 2.01.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2.06.          </w:t>
      </w:r>
      <w:r>
        <w:rPr>
          <w:rFonts w:ascii="Times New Roman PS Std;serif" w:hAnsi="Times New Roman PS Std;serif"/>
          <w:b w:val="false"/>
          <w:i w:val="false"/>
          <w:caps w:val="false"/>
          <w:smallCaps w:val="false"/>
          <w:sz w:val="20"/>
          <w:u w:val="single"/>
        </w:rPr>
        <w:t>Blackout Period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(i) upon the receipt of comments from the SEC on any document incorporated by reference in the Registration Statement, if the effect of such comments were to indicate that such document was materially misleading, until it has received copies of a corrective supplemented or amended prospectus (it being understood that the Company hereby covenants to prepare and file such supplement or amendment as soon as practicable after the time of such notice) or (ii) if compliance with such obligations would (A) violate applicable Law or otherwise prevent the Company from complying with applicable Law, (B) require the Company to disclose a </w:t>
      </w:r>
      <w:r>
        <w:rPr>
          <w:rFonts w:ascii="Times New Roman PS Std;serif" w:hAnsi="Times New Roman PS Std;serif"/>
          <w:b w:val="false"/>
          <w:i/>
          <w:sz w:val="20"/>
        </w:rPr>
        <w:t>bona fide</w:t>
      </w:r>
      <w:r>
        <w:rPr>
          <w:caps w:val="false"/>
          <w:smallCaps w:val="false"/>
        </w:rPr>
        <w:t xml:space="preserve"> </w:t>
      </w:r>
      <w:r>
        <w:rPr>
          <w:rFonts w:ascii="Times New Roman PS Std;serif" w:hAnsi="Times New Roman PS Std;serif"/>
          <w:b w:val="false"/>
          <w:i w:val="false"/>
          <w:caps w:val="false"/>
          <w:smallCaps w:val="false"/>
          <w:sz w:val="20"/>
        </w:rPr>
        <w:t xml:space="preserve">and material financing, acquisition, disposition or other transaction or corporate development (other than the contemplated offering), and the chief executive officer of the Company has determined, in the good faith exercise of his reasonable business judgment, that such disclosure is not in the best interest of the Company or (C) upon advice of counsel, otherwise require premature disclosure of information, the disclosure of which the chief executive officer of the Company has determined, in the good faith exercise of his reasonable business judgment, is not in the best interests of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such suspensions pursuant to this Section 2.06 will occur on no more than one occasion during every 12-month period and any and all such suspensions will not exceed a total of 90 days in the aggregate in any 12-month period (any period during which such obligations are suspended, a “</w:t>
      </w:r>
      <w:r>
        <w:rPr>
          <w:rFonts w:ascii="Times New Roman PS Std;serif" w:hAnsi="Times New Roman PS Std;serif"/>
          <w:b w:val="false"/>
          <w:i w:val="false"/>
          <w:caps w:val="false"/>
          <w:smallCaps w:val="false"/>
          <w:sz w:val="20"/>
          <w:u w:val="single"/>
        </w:rPr>
        <w:t>Deferral Period</w:t>
      </w:r>
      <w:r>
        <w:rPr>
          <w:caps w:val="false"/>
          <w:smallCaps w:val="false"/>
        </w:rPr>
        <w:t>”</w:t>
      </w:r>
      <w:r>
        <w:rPr>
          <w:rFonts w:ascii="Times New Roman PS Std;serif" w:hAnsi="Times New Roman PS Std;serif"/>
          <w:b w:val="false"/>
          <w:i w:val="false"/>
          <w:caps w:val="false"/>
          <w:smallCaps w:val="false"/>
          <w:sz w:val="20"/>
        </w:rPr>
        <w:t>). The Company will promptly give the Investors written notice of any such suspension containing the approximate length of the anticipated delay, and the Company will notify the Investors’ Representative upon the termination of any Deferral Period. Upon receipt of any notice from the Company of any Deferral Period, each of the Investors shall forthwith discontinue disposition of the Registrable Securities pursuant to the Registration Statement relating thereto until the Investors’ Representative receives copies of the supplemented or amended prospectus contemplated hereby or until they are advised in writing by the Company that the use of the prospectus may be resumed and have received copies of any additional or supplemented filings that are incorporated by reference in the prospectus, and, if so directed by the Company, the Investors will, and will request the lead Underwriter or Underwriters, if any, to, deliver to the Company all copies, other than permanent file copies, then in the Investors’ or such Underwriter’s or Underwriters’ possession of the current prospectus covering such Registrable Securities. If the Company so postpones its obligations, the requesting Investor shall be entitled to withdraw such request in writing and, if such request is so withdrawn, such registration request shall not count for the purposes of the limitations set forth in Section 2.01. The Company shall pay all expenses incurred in connection with any such aborted registration or prospectus.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(b)The parties hereto further agree and acknowledge that any suspension or non-use of the Registration Statement covering the sale of Registrable Securities due to the updating of such Registration Statement to include any financial statement that such Registration Statement is required to contain (the “</w:t>
      </w:r>
      <w:r>
        <w:rPr>
          <w:rFonts w:ascii="Times New Roman PS Std;serif" w:hAnsi="Times New Roman PS Std;serif"/>
          <w:b w:val="false"/>
          <w:i w:val="false"/>
          <w:caps w:val="false"/>
          <w:smallCaps w:val="false"/>
          <w:sz w:val="20"/>
          <w:u w:val="single"/>
        </w:rPr>
        <w:t>Required Financial Statements</w:t>
      </w:r>
      <w:r>
        <w:rPr>
          <w:caps w:val="false"/>
          <w:smallCaps w:val="false"/>
        </w:rPr>
        <w:t>”</w:t>
      </w:r>
      <w:r>
        <w:rPr>
          <w:rFonts w:ascii="Times New Roman PS Std;serif" w:hAnsi="Times New Roman PS Std;serif"/>
          <w:b w:val="false"/>
          <w:i w:val="false"/>
          <w:caps w:val="false"/>
          <w:smallCaps w:val="false"/>
          <w:sz w:val="20"/>
        </w:rPr>
        <w:t>) shall not be deemed to be a suspension for purposes of Section 2.06(a), unless and until the seven Business Day period referenced in Section 2.06(c) shall have passed without the updating of financial statements required by Section 2.06(c).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Company shall use its reasonable best efforts to update the Registration Statement on each date on which it shall be necessary to do so to cause the Registration Statement covering the sale of Registrable Securities to contain the Required Financial Statements;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with respect to any financial period ending after the date of this Agreement, the Company shall not be obligated to update the Required Financial Statements pursuant to Section 2.06(b) and shall not be deemed to be in default under this sentence until seven Business Days after (or such earlier date as may be reasonably practicable) the date upon which such updated financial statements are required to be filed with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Demanding Key Holder may not, without the Company’s prior written consent, submit any Demand Notice requesting to launch an Underwritten Offering within the period commencing 14 days prior to and ending two days following the Company’s scheduled earnings release date for any fiscal quarter or year.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2.07.          </w:t>
      </w:r>
      <w:r>
        <w:rPr>
          <w:rFonts w:ascii="Times New Roman PS Std;serif" w:hAnsi="Times New Roman PS Std;serif"/>
          <w:b w:val="false"/>
          <w:i w:val="false"/>
          <w:caps w:val="false"/>
          <w:smallCaps w:val="false"/>
          <w:sz w:val="20"/>
          <w:u w:val="single"/>
        </w:rPr>
        <w:t>Offering Expenses</w:t>
      </w:r>
      <w:r>
        <w:rPr>
          <w:rFonts w:ascii="Times New Roman PS Std;serif" w:hAnsi="Times New Roman PS Std;serif"/>
          <w:b w:val="false"/>
          <w:i w:val="false"/>
          <w:caps w:val="false"/>
          <w:smallCaps w:val="false"/>
          <w:sz w:val="20"/>
        </w:rPr>
        <w:t>. All Offering Expenses will be borne by the Company upon the request of Investors’ Representative.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2.08.          </w:t>
      </w:r>
      <w:r>
        <w:rPr>
          <w:rFonts w:ascii="Times New Roman PS Std;serif" w:hAnsi="Times New Roman PS Std;serif"/>
          <w:b w:val="false"/>
          <w:i w:val="false"/>
          <w:caps w:val="false"/>
          <w:smallCaps w:val="false"/>
          <w:sz w:val="20"/>
          <w:u w:val="single"/>
        </w:rPr>
        <w:t>Indemnification; Contribution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In connection with any registration of Registrable Securities pursuant to this Article II, the Company agrees to indemnify and hold harmless, to the fullest extent permitted by Law, each of the Investors and their respective Affiliates, the Investors’ Representative and each of its Affiliates, each Person who controls an Investor or the Investors’ Representative within the meaning of either Section 15 of the Securities Act or Section 20 of the Exchange Act and the directors, officers, employees, partners, affiliates, members, managers, trustees, shareholders, assignees and representatives of each of the foregoing (collectively, the “</w:t>
      </w:r>
      <w:r>
        <w:rPr>
          <w:rFonts w:ascii="Times New Roman PS Std;serif" w:hAnsi="Times New Roman PS Std;serif"/>
          <w:b w:val="false"/>
          <w:i w:val="false"/>
          <w:caps w:val="false"/>
          <w:smallCaps w:val="false"/>
          <w:sz w:val="20"/>
          <w:u w:val="single"/>
        </w:rPr>
        <w:t>Indemnified Persons</w:t>
      </w:r>
      <w:r>
        <w:rPr>
          <w:caps w:val="false"/>
          <w:smallCaps w:val="false"/>
        </w:rPr>
        <w:t>”</w:t>
      </w:r>
      <w:r>
        <w:rPr>
          <w:rFonts w:ascii="Times New Roman PS Std;serif" w:hAnsi="Times New Roman PS Std;serif"/>
          <w:b w:val="false"/>
          <w:i w:val="false"/>
          <w:caps w:val="false"/>
          <w:smallCaps w:val="false"/>
          <w:sz w:val="20"/>
        </w:rPr>
        <w:t>) from and against any and all losses, claims, damages, liabilities, judgments, actions and expenses (including reasonable attorneys’ fees and other expenses actually incurred by them in connection with investigating, defending or settling any such losses, claims, damages, liabilities, actions or proceedings) (“</w:t>
      </w:r>
      <w:r>
        <w:rPr>
          <w:rFonts w:ascii="Times New Roman PS Std;serif" w:hAnsi="Times New Roman PS Std;serif"/>
          <w:b w:val="false"/>
          <w:i w:val="false"/>
          <w:caps w:val="false"/>
          <w:smallCaps w:val="false"/>
          <w:sz w:val="20"/>
          <w:u w:val="single"/>
        </w:rPr>
        <w:t>Losses</w:t>
      </w:r>
      <w:r>
        <w:rPr>
          <w:caps w:val="false"/>
          <w:smallCaps w:val="false"/>
        </w:rPr>
        <w:t>”</w:t>
      </w:r>
      <w:r>
        <w:rPr>
          <w:rFonts w:ascii="Times New Roman PS Std;serif" w:hAnsi="Times New Roman PS Std;serif"/>
          <w:b w:val="false"/>
          <w:i w:val="false"/>
          <w:caps w:val="false"/>
          <w:smallCaps w:val="false"/>
          <w:sz w:val="20"/>
        </w:rPr>
        <w:t xml:space="preserve">) joint or several arising out of or based upon (i) any untrue or alleged untrue statement of material fact contained in any part of any Registration Statement, any preliminary or final prospectus or other disclosure document used in connection with the Registrable Securities, any Issuer FWP or any amendment or supplement to any of the foregoing, or any omission or alleged omission to state therein a material fact required to be stated therein or necessary to make the statements therein not misleading or (ii) any violation or alleged violation by the Company or any of its Subsidiaries of any federal, state, foreign or common law rule or regulation applicable to the Company or any of its Subsidiaries and relating to action or inaction in connection with any such registration, Registration Statement, other disclosure document or Issuer FWP;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will not be required to indemnify any Indemnified Person for any losses, claims, damages, liabilities, judgments, actions or expenses resulting from any such untrue statement or omission if such untrue statement or omission was made in conformity with information with respect to such Indemnified Person or related Investors furnished to the Company in writing by or on behalf of such related Investors expressly for use therein.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connection with any Registration Statement covering the sale of Registrable Securities, preliminary or final prospectus or Issuer FWP in which an Investor is participating, each such Investor agrees to indemnify, severally and not jointly, the Company, its directors, its officers who sign such Registration Statement and each Person, if any, who controls the Company (within the meaning of either Section 15 of the Securities Act or Section 20 of the Exchange Act) to the same extent as the foregoing indemnity from the Company to the Investors, but only with respect to information with respect to such Investor furnished to the Company in writing by such Investor expressly for use in such Registration Statement, preliminary or final prospectus or Issuer FWP to the extent such information is included therein in reliance upon and in conformity with the information furnished to the Company by such Investor expressly for use therein;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any Investor’s liability pursuant to this Section 2.08 in respect of the offering to which such loss, claim, damages, liabilities, judgments, actions or expenses relate exceed an amount equal to the proceeds to such Investor (after deduction of all Underwriters’ discounts and commissions) from such offering </w:t>
      </w:r>
      <w:r>
        <w:rPr>
          <w:rFonts w:ascii="Times New Roman PS Std;serif" w:hAnsi="Times New Roman PS Std;serif"/>
          <w:b w:val="false"/>
          <w:i/>
          <w:sz w:val="20"/>
        </w:rPr>
        <w:t>less</w:t>
      </w:r>
      <w:r>
        <w:rPr>
          <w:caps w:val="false"/>
          <w:smallCaps w:val="false"/>
        </w:rPr>
        <w:t xml:space="preserve"> </w:t>
      </w:r>
      <w:r>
        <w:rPr>
          <w:rFonts w:ascii="Times New Roman PS Std;serif" w:hAnsi="Times New Roman PS Std;serif"/>
          <w:b w:val="false"/>
          <w:i w:val="false"/>
          <w:caps w:val="false"/>
          <w:smallCaps w:val="false"/>
          <w:sz w:val="20"/>
        </w:rPr>
        <w:t>the amount of any damages which such Investor has otherwise been required to pay by reason of such information.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In case any claim, action or proceeding (including any governmental investigation) is instituted involving any Person in respect of which indemnity may be sought pursuant to Section 2.08(a) or Section 2.08(b), such Person (hereinafter called the “</w:t>
      </w:r>
      <w:r>
        <w:rPr>
          <w:rFonts w:ascii="Times New Roman PS Std;serif" w:hAnsi="Times New Roman PS Std;serif"/>
          <w:b w:val="false"/>
          <w:i w:val="false"/>
          <w:caps w:val="false"/>
          <w:smallCaps w:val="false"/>
          <w:sz w:val="20"/>
          <w:u w:val="single"/>
        </w:rPr>
        <w:t>indemnified party</w:t>
      </w:r>
      <w:r>
        <w:rPr>
          <w:caps w:val="false"/>
          <w:smallCaps w:val="false"/>
        </w:rPr>
        <w:t>”</w:t>
      </w:r>
      <w:r>
        <w:rPr>
          <w:rFonts w:ascii="Times New Roman PS Std;serif" w:hAnsi="Times New Roman PS Std;serif"/>
          <w:b w:val="false"/>
          <w:i w:val="false"/>
          <w:caps w:val="false"/>
          <w:smallCaps w:val="false"/>
          <w:sz w:val="20"/>
        </w:rPr>
        <w:t>) will (i) promptly notify the Person against whom such indemnity may be sought (hereinafter called the “</w:t>
      </w:r>
      <w:r>
        <w:rPr>
          <w:rFonts w:ascii="Times New Roman PS Std;serif" w:hAnsi="Times New Roman PS Std;serif"/>
          <w:b w:val="false"/>
          <w:i w:val="false"/>
          <w:caps w:val="false"/>
          <w:smallCaps w:val="false"/>
          <w:sz w:val="20"/>
          <w:u w:val="single"/>
        </w:rPr>
        <w:t>indemnifying party</w:t>
      </w:r>
      <w:r>
        <w:rPr>
          <w:caps w:val="false"/>
          <w:smallCaps w:val="false"/>
        </w:rPr>
        <w:t>”</w:t>
      </w:r>
      <w:r>
        <w:rPr>
          <w:rFonts w:ascii="Times New Roman PS Std;serif" w:hAnsi="Times New Roman PS Std;serif"/>
          <w:b w:val="false"/>
          <w:i w:val="false"/>
          <w:caps w:val="false"/>
          <w:smallCaps w:val="false"/>
          <w:sz w:val="20"/>
        </w:rPr>
        <w:t xml:space="preserve">) in writing;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failure to give such notice shall not relieve the indemnifying party of its obligations pursuant to this Agreement except to the extent such indemnifying party has been prejudiced in any material respect by such failure and (ii) permit the indemnifying party to assume the defense of such claim, action or proceeding with counsel reasonably satisfactory to the indemnified party to represent the indemnified party (in which case, the indemnifying party shall pay the fees and disbursements of such counsel related to such claim, action or proceeding). In any such claim, action or proceeding, any indemnified party will have the right to retain its own counsel, but the fees and expenses of such counsel will be at the expense of such indemnified party (without prejudice to such indemnified party’s indemnity and other rights under the Charter, Bylaws and applicable Law, if any) unless (A) the indemnifying party and the indemnified party have mutually agreed to the retention of such counsel, (B) the named parties to any such claim, action or proceeding (including any impleaded parties) include both the indemnifying party and the indemnified party and the indemnified party has been advised in writing by counsel, with a copy provided to the Company, that representation of both parties by the same counsel would be inappropriate due to actual or potential conflicting interests between them, (C) the indemnifying party has failed to assume the defense of such claim and employ counsel reasonably satisfactory to the indemnified party or (D) any such, claim, action or proceeding is a criminal or regulatory enforcement action. It is understood that the indemnifying party will not, in connection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claim, action or proceeding or related claims, actions or proceedings in the same jurisdiction, be liable for the reasonable fees and expenses of more than one separate firm of attorneys for the indemnified parties (in addition to any local counsel at any time for all such indemnified parties) and that all such reasonable fees and expenses will be reimbursed reasonably promptly following a written request by an indemnified party stating under which clause of (A) through (D) above reimbursement is sought and delivery of documentation of such fees and expenses. In the case of the retention of any such separate firm for the indemnified parties, such firm will be designated in writing by the indemnified parties. The indemnifying party will not be liable for any settlement of any claim, action or proceeding effected without its written consent (which consent shall not be unreasonably withheld, conditioned or delayed), but if such claim, action or proceeding is settled with such consent or if there has been a final non-appealable judgment for the plaintiff, the indemnifying party agrees to indemnify the indemnified party from and against any loss or liability by reason of such settlement or judgment. Notwithstanding the foregoing sentence, if at any time an indemnified party will have requested an indemnifying party to reimburse the indemnified party for reasonable fees and expenses of counsel as contemplated by the third sentence of this Section 2.08(c), the indemnifying party agrees that it will be liable for any settlement of any proceeding effected without its written consent if (i) such settlement is entered into more than 45 days after receipt by such indemnifying party of the aforesaid request and (ii) such indemnifying party has not reimbursed the indemnified party in accordance with such request or reasonably objected in writing, on the basis of the standards set forth herein, to the propriety of such reimbursement prior to the date of such settlement. No indemnifying party will, without the prior written consent of the indemnified party, effect any settlement of any pending or threatened proceeding (i)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or (ii) which involves the imposition of equitable remedies on the indemnified party or the imposition of any obligation on the indemnified party, other than as a result of the imposition of financial obligations for which the indemnified person will be indemnified hereunder and provides for no admission of wrongdoing on the part thereof.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the indemnification provided for in this Section 2.08 from the indemnifying party is unavailable to an indemnified party hereunder in respect of any losses, claims, damages, liabilities, judgments, actions or expenses referred to in this Section 2.08, then the indemnifying party, in lieu of indemnifying such indemnified party, will contribute to the amount paid or payable by such indemnified party as a result of such losses, claims, damages, liabilities, judgments, actions or expenses (i) in such proportion as is appropriate to reflect the relative fault of the indemnifying party and indemnified party in connection with the actions that resulted in such losses, claims, damages, liabilities or expenses, as well as any other relevant equitable considerations, or (ii) if the allocation provided by clause (i) is not permitted by applicable Law, in such proportion as is appropriate to reflect not only the relative fault referred to in clause (i) but also the relative benefit of the Company, on the one hand, and the Investors, on the other, in connection with the statements or omissions that resulted in such losses, claims, damages, liabilities, judgments, actions or expenses, as well as any other relevant equitable considerations. The relative fault of such indemnifying party and indemnified party will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such action. The amount paid or payable by a party as a result of the losses, claims, damages, liabilities and expenses referred to above will be deemed to include, subject to the limitations set forth in Section 2.08(c), any legal or other fees or expenses reasonably incurred by such party in connection with any investigation or proceeding.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The parties agree that it would not be just and equitable if contribution pursuant to Section 2.08(d) were determined by pro rata allocation or by any other method of allocation that does not take into account the equitable considerations referred to in Section 2.08(d). No Person guilty of “fraudulent misrepresentation” (within the meaning of Section 11(f) of the Securities Act) will be entitled to contribution from any Person who was not guilty of such fraudulent misrepresentation. Notwithstanding the provisions of Section 2.08(d) and this Section 2.08(e), each Investor’s liability pursuant to Section 2.08(d) in respect of the offering to which such loss, claim, damages, liabilities, judgments, actions or expenses relate shall not exceed an amount equal to the proceeds to such Investor (after deduction of all Underwriters’ discounts and commissions) from such offering </w:t>
      </w:r>
      <w:r>
        <w:rPr>
          <w:rFonts w:ascii="Times New Roman PS Std;serif" w:hAnsi="Times New Roman PS Std;serif"/>
          <w:b w:val="false"/>
          <w:i/>
          <w:sz w:val="20"/>
        </w:rPr>
        <w:t>less</w:t>
      </w:r>
      <w:r>
        <w:rPr>
          <w:caps w:val="false"/>
          <w:smallCaps w:val="false"/>
        </w:rPr>
        <w:t xml:space="preserve"> </w:t>
      </w:r>
      <w:r>
        <w:rPr>
          <w:rFonts w:ascii="Times New Roman PS Std;serif" w:hAnsi="Times New Roman PS Std;serif"/>
          <w:b w:val="false"/>
          <w:i w:val="false"/>
          <w:caps w:val="false"/>
          <w:smallCaps w:val="false"/>
          <w:sz w:val="20"/>
        </w:rPr>
        <w:t>the amount of any damages which such Investor has otherwise been required to pay by reason of such untrue or alleged untrue statement or omission or alleged omission. Each Investor’s obligation to contribute pursuant to this Section 2.08 is several in proportion to the respective number of Registrable Securities held by such Investor hereunder and not joint.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For purposes of this Section 2.08, each Indemnified Person shall have the same rights to contribution as such Investor, and each officer, director and Person, if any, who controls the Company within the meaning of Section 15 of the Securities Act or Section 20(a) of the Exchange Act shall have the same rights to contribution as the Company, subject in each case to the limitations set forth in the immediately preceding paragraph. Any party entitled to contribution will, promptly after receipt of notice of commencement of any action, suit or proceeding against such party in respect of which a claim for contribution may be made against another party or parties under this Section 2.08, notify such party or parties from whom contribution may be sought, but the omission to so notify such party or parties shall not relieve the party or parties from whom contribution may be sought from any obligation it or they may have under this Section 2.08 or otherwise except to the extent that it has been prejudiced in any material respect by such failure. No party shall be liable for contribution with respect to any action or claim settled without its written consent;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such written consent was not unreasonably withheld.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If indemnification is available under this Section 2.08, the indemnifying party will indemnify each indemnified party to the full extent provided in Section 2.08(a) and Section 2.08(b) without regard to the relative fault of said indemnifying party or indemnified party or any other equitable consideration provided for in Section 2.08(d) or Section 2.08(e).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2.09.          </w:t>
      </w:r>
      <w:r>
        <w:rPr>
          <w:rFonts w:ascii="Times New Roman PS Std;serif" w:hAnsi="Times New Roman PS Std;serif"/>
          <w:b w:val="false"/>
          <w:i w:val="false"/>
          <w:caps w:val="false"/>
          <w:smallCaps w:val="false"/>
          <w:sz w:val="20"/>
          <w:u w:val="single"/>
        </w:rPr>
        <w:t>Lock-up</w:t>
      </w:r>
      <w:r>
        <w:rPr>
          <w:rFonts w:ascii="Times New Roman PS Std;serif" w:hAnsi="Times New Roman PS Std;serif"/>
          <w:b w:val="false"/>
          <w:i w:val="false"/>
          <w:caps w:val="false"/>
          <w:smallCaps w:val="false"/>
          <w:sz w:val="20"/>
        </w:rPr>
        <w:t>. If and to the extent reasonably requested by the lead Underwriter of a Demand Offering that is an Underwritten Offering of Equity Securities of the Company, the Company and each Investor who has a right to participate in such Underwritten Offering agrees to enter into an agreement, at the time of execution of the applicable underwriting agreement, not to effect, and to cause their respective Affiliates not to effect, except as part of such registration and subject to such other carve-outs sufficient to permit charitable gifting and transfers to Permitted Transferees, any offer, sale, pledge, transfer or other distribution or disposition or any agreement with respect to the foregoing of the issue being registered or offered, as applicable, or of a similar security of the Company, or any securities into which such Equity Securities are convertible, or any securities convertible into, or exchangeable or exercisable for, such Equity Securities, including a sale pursuant to Rule 144, during a period of up to seven days prior to, and during a period of up to 90 days after, the effective date of such registration (the “</w:t>
      </w:r>
      <w:r>
        <w:rPr>
          <w:rFonts w:ascii="Times New Roman PS Std;serif" w:hAnsi="Times New Roman PS Std;serif"/>
          <w:b w:val="false"/>
          <w:i w:val="false"/>
          <w:caps w:val="false"/>
          <w:smallCaps w:val="false"/>
          <w:sz w:val="20"/>
          <w:u w:val="single"/>
        </w:rPr>
        <w:t>Lock-up</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Investor shall be obligated to enter into a Lock-up more than one time in any 12-month period. The lead Underwriter shall give the Company and each Investor prior notice of any such request.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2.10.          </w:t>
      </w:r>
      <w:r>
        <w:rPr>
          <w:rFonts w:ascii="Times New Roman PS Std;serif" w:hAnsi="Times New Roman PS Std;serif"/>
          <w:b w:val="false"/>
          <w:i w:val="false"/>
          <w:caps w:val="false"/>
          <w:smallCaps w:val="false"/>
          <w:sz w:val="20"/>
          <w:u w:val="single"/>
        </w:rPr>
        <w:t>Termination of Registration Rights</w:t>
      </w:r>
      <w:r>
        <w:rPr>
          <w:rFonts w:ascii="Times New Roman PS Std;serif" w:hAnsi="Times New Roman PS Std;serif"/>
          <w:b w:val="false"/>
          <w:i w:val="false"/>
          <w:caps w:val="false"/>
          <w:smallCaps w:val="false"/>
          <w:sz w:val="20"/>
        </w:rPr>
        <w:t xml:space="preserve">. This Article II (other than Sections 2.08, 2.10 and 2.11) will terminate on the date on which all Equity Securities of the Company subject to this Article II cease to be Registrable Securities;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a Lock-up is in effect at the time of such termination then such Lock-up shall expire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2.11.          </w:t>
      </w:r>
      <w:r>
        <w:rPr>
          <w:rFonts w:ascii="Times New Roman PS Std;serif" w:hAnsi="Times New Roman PS Std;serif"/>
          <w:b w:val="false"/>
          <w:i w:val="false"/>
          <w:caps w:val="false"/>
          <w:smallCaps w:val="false"/>
          <w:sz w:val="20"/>
          <w:u w:val="single"/>
        </w:rPr>
        <w:t>Rule 144</w:t>
      </w:r>
      <w:r>
        <w:rPr>
          <w:rFonts w:ascii="Times New Roman PS Std;serif" w:hAnsi="Times New Roman PS Std;serif"/>
          <w:b w:val="false"/>
          <w:i w:val="false"/>
          <w:caps w:val="false"/>
          <w:smallCaps w:val="false"/>
          <w:sz w:val="20"/>
        </w:rPr>
        <w:t>. For so long as the Company is subject to the requirements of Section 13, 14 or 15(d) of the Exchange Act, the Company agrees that it will file the reports required to be filed by it under the Securities Act and the Exchange Act and the rules and regulations adopted by the SEC thereunder and it will take such further action as the Investors’ Representative (on behalf of the Investors) or any Investor reasonably may request, all to the extent required from time to time to enable the Investors to sell Registrable Securities within the limitation of exemptions provided by (a) Rule 144, as such Rule may be amended from time to time, or (b) any similar rule or regulation hereafter adopted by the SEC. Upon the request of the Investors’ Representative (on behalf of the Investors) or any Investor, the Company will deliver to the Investors a written statement as to whether it has complied with such requirements.</w:t>
      </w:r>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III</w:t>
      </w:r>
      <w:r>
        <w:rPr>
          <w:rFonts w:ascii="Times New Roman;serif" w:hAnsi="Times New Roman;serif"/>
          <w:b w:val="false"/>
          <w:i w:val="false"/>
          <w:caps w:val="false"/>
          <w:smallCaps w:val="false"/>
          <w:sz w:val="20"/>
          <w:u w:val="single"/>
        </w:rPr>
        <w:br/>
        <w:br/>
      </w:r>
      <w:r>
        <w:rPr>
          <w:rFonts w:ascii="Times New Roman PS Std;serif" w:hAnsi="Times New Roman PS Std;serif"/>
          <w:b w:val="false"/>
          <w:i w:val="false"/>
          <w:caps w:val="false"/>
          <w:smallCaps w:val="false"/>
          <w:sz w:val="20"/>
          <w:u w:val="single"/>
        </w:rPr>
        <w:t>Miscellaneous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3.01.          </w:t>
      </w:r>
      <w:r>
        <w:rPr>
          <w:rFonts w:ascii="Times New Roman PS Std;serif" w:hAnsi="Times New Roman PS Std;serif"/>
          <w:b w:val="false"/>
          <w:i w:val="false"/>
          <w:caps w:val="false"/>
          <w:smallCaps w:val="false"/>
          <w:sz w:val="20"/>
          <w:u w:val="single"/>
        </w:rPr>
        <w:t>Adjustments</w:t>
      </w:r>
      <w:r>
        <w:rPr>
          <w:rFonts w:ascii="Times New Roman PS Std;serif" w:hAnsi="Times New Roman PS Std;serif"/>
          <w:b w:val="false"/>
          <w:i w:val="false"/>
          <w:caps w:val="false"/>
          <w:smallCaps w:val="false"/>
          <w:sz w:val="20"/>
        </w:rPr>
        <w:t>. References to shares, equity interests or other Equity Securities or to numbers or prices of shares and to sums of money, in each case, including percentages thereof, contained herein will be deemed adjusted to account for any reclassification, exchange, conversion, substitution, combination, consolidation, subdivision, stock or unit split or reverse stock or unit split, stock or unit dividend, share or unit distribution, rights offering or similar transaction (including to property received therein in connection with a merger, consolidation or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3.02.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claims, demands and other communications under this Agreement shall be in writing and shall be deemed to have been duly given (a) when delivered in person; (b) when transmitted (except if not a Business Day, then the next Business Day) via email (to such email address set out below) and sender shall bear the burden of proof of delivery, which shall be deemed satisfied if such notice is also delivered by hand, deposited in registered or certified mail (postage prepaid, return receipt requested) or delivered prepaid to a reputable national overnight air courier service on or before the date that is one (1) Business Day after its transmission by email; and (c) on the next Business Day when sent by national overnight courier (providing proof of delivery), in each case to the respective parties at the following addresses (or at such other address for a party as shall be specified in a notice given in accordance with this Section 3.02):</w:t>
      </w:r>
    </w:p>
    <w:p>
      <w:pPr>
        <w:pStyle w:val="TextBody"/>
        <w:keepNext w:val="true"/>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NTC Investor or the Investors’ Representative, to:</w:t>
      </w:r>
    </w:p>
    <w:tbl>
      <w:tblPr>
        <w:tblW w:w="3740" w:type="dxa"/>
        <w:jc w:val="left"/>
        <w:tblInd w:w="0" w:type="dxa"/>
        <w:tblLayout w:type="fixed"/>
        <w:tblCellMar>
          <w:top w:w="0" w:type="dxa"/>
          <w:left w:w="0" w:type="dxa"/>
          <w:bottom w:w="0" w:type="dxa"/>
          <w:right w:w="0" w:type="dxa"/>
        </w:tblCellMar>
      </w:tblPr>
      <w:tblGrid>
        <w:gridCol w:w="161"/>
        <w:gridCol w:w="146"/>
        <w:gridCol w:w="1066"/>
        <w:gridCol w:w="146"/>
        <w:gridCol w:w="22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3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 Field Point Road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 06830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Email: </w:t>
            </w:r>
          </w:p>
        </w:tc>
        <w:tc>
          <w:tcPr>
            <w:tcW w:w="146" w:type="dxa"/>
            <w:tcBorders/>
            <w:vAlign w:val="bottom"/>
          </w:tcPr>
          <w:p>
            <w:pPr>
              <w:pStyle w:val="TableContents"/>
              <w:bidi w:val="0"/>
              <w:spacing w:before="0" w:after="283"/>
              <w:jc w:val="left"/>
              <w:rPr/>
            </w:pPr>
            <w:r>
              <w:rPr/>
              <w:t> </w:t>
            </w:r>
          </w:p>
        </w:tc>
        <w:tc>
          <w:tcPr>
            <w:tcW w:w="22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 the NTC Investor or to the Investors’ Representative) to:</w:t>
      </w:r>
    </w:p>
    <w:tbl>
      <w:tblPr>
        <w:tblW w:w="6110" w:type="dxa"/>
        <w:jc w:val="left"/>
        <w:tblInd w:w="0" w:type="dxa"/>
        <w:tblLayout w:type="fixed"/>
        <w:tblCellMar>
          <w:top w:w="0" w:type="dxa"/>
          <w:left w:w="0" w:type="dxa"/>
          <w:bottom w:w="0" w:type="dxa"/>
          <w:right w:w="0" w:type="dxa"/>
        </w:tblCellMar>
      </w:tblPr>
      <w:tblGrid>
        <w:gridCol w:w="161"/>
        <w:gridCol w:w="146"/>
        <w:gridCol w:w="1066"/>
        <w:gridCol w:w="146"/>
        <w:gridCol w:w="45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0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0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Manhattan West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0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 Ninth Avenue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0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45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 Matthew L. Ploszek</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45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 mploszek@cravath.com</w:t>
            </w:r>
          </w:p>
        </w:tc>
      </w:tr>
    </w:tbl>
    <w:p>
      <w:pPr>
        <w:pStyle w:val="TextBody"/>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other Investors, at the address most recently provided in writing to the Company for the purposes of notice.</w:t>
      </w:r>
    </w:p>
    <w:p>
      <w:pPr>
        <w:pStyle w:val="TextBody"/>
        <w:keepNext w:val="true"/>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tbl>
      <w:tblPr>
        <w:tblW w:w="5600" w:type="dxa"/>
        <w:jc w:val="left"/>
        <w:tblInd w:w="0" w:type="dxa"/>
        <w:tblLayout w:type="fixed"/>
        <w:tblCellMar>
          <w:top w:w="0" w:type="dxa"/>
          <w:left w:w="0" w:type="dxa"/>
          <w:bottom w:w="0" w:type="dxa"/>
          <w:right w:w="0" w:type="dxa"/>
        </w:tblCellMar>
      </w:tblPr>
      <w:tblGrid>
        <w:gridCol w:w="161"/>
        <w:gridCol w:w="146"/>
        <w:gridCol w:w="1066"/>
        <w:gridCol w:w="146"/>
        <w:gridCol w:w="40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293" w:type="dxa"/>
            <w:gridSpan w:val="3"/>
            <w:tcBorders/>
            <w:vAlign w:val="bottom"/>
          </w:tcPr>
          <w:p>
            <w:pPr>
              <w:pStyle w:val="TableContents"/>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9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40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40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 the Company) to:</w:t>
      </w:r>
    </w:p>
    <w:tbl>
      <w:tblPr>
        <w:tblW w:w="5960" w:type="dxa"/>
        <w:jc w:val="left"/>
        <w:tblInd w:w="0" w:type="dxa"/>
        <w:tblLayout w:type="fixed"/>
        <w:tblCellMar>
          <w:top w:w="0" w:type="dxa"/>
          <w:left w:w="0" w:type="dxa"/>
          <w:bottom w:w="0" w:type="dxa"/>
          <w:right w:w="0" w:type="dxa"/>
        </w:tblCellMar>
      </w:tblPr>
      <w:tblGrid>
        <w:gridCol w:w="161"/>
        <w:gridCol w:w="146"/>
        <w:gridCol w:w="1066"/>
        <w:gridCol w:w="146"/>
        <w:gridCol w:w="444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653" w:type="dxa"/>
            <w:gridSpan w:val="3"/>
            <w:tcBorders/>
            <w:vAlign w:val="bottom"/>
          </w:tcPr>
          <w:p>
            <w:pPr>
              <w:pStyle w:val="TableContents"/>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5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 Avenue of the Americas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53" w:type="dxa"/>
            <w:gridSpan w:val="3"/>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10105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bottom"/>
          </w:tcPr>
          <w:p>
            <w:pPr>
              <w:pStyle w:val="TableContents"/>
              <w:bidi w:val="0"/>
              <w:spacing w:before="0" w:after="283"/>
              <w:jc w:val="left"/>
              <w:rPr/>
            </w:pPr>
            <w:r>
              <w:rPr/>
              <w:t> </w:t>
            </w:r>
          </w:p>
        </w:tc>
        <w:tc>
          <w:tcPr>
            <w:tcW w:w="444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 Charles Goodwin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bottom"/>
          </w:tcPr>
          <w:p>
            <w:pPr>
              <w:pStyle w:val="TableContents"/>
              <w:bidi w:val="0"/>
              <w:spacing w:before="0" w:after="283"/>
              <w:jc w:val="left"/>
              <w:rPr/>
            </w:pPr>
            <w:r>
              <w:rPr/>
              <w:t> </w:t>
            </w:r>
          </w:p>
        </w:tc>
        <w:tc>
          <w:tcPr>
            <w:tcW w:w="4441" w:type="dxa"/>
            <w:tcBorders/>
            <w:vAlign w:val="bottom"/>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 cgoodwin@egsllp.com</w:t>
            </w:r>
          </w:p>
        </w:tc>
      </w:tr>
    </w:tbl>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3.03.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set forth herein, each party to this Agreement shall pay its own expenses incurred following the date of this Agreement in connection with this Agreement. The Company shall bear all documented out-of-pocket expenses of the Investors in connection with this Agreement incurred prior to the date of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3.04.          </w:t>
      </w:r>
      <w:r>
        <w:rPr>
          <w:rFonts w:ascii="Times New Roman PS Std;serif" w:hAnsi="Times New Roman PS Std;serif"/>
          <w:b w:val="false"/>
          <w:i w:val="false"/>
          <w:caps w:val="false"/>
          <w:smallCaps w:val="false"/>
          <w:sz w:val="20"/>
          <w:u w:val="single"/>
        </w:rPr>
        <w:t>Amendments; Waivers;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provision of this Agreement may be amended or waived unless such amendment or waiver is in writing and signed, in the case of an amendment, by the Investors’ Representative, the NTC Investor and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any amendment or waiver that materially adversely affects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or obligations of an individual Investor hereunder in a manner different than the other Investors shall also require the signature of such affected Investor or, in the case of a waiver, by the party against whom the waiver is to be effective.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failure of any party to this Agreement to assert any of its rights under this Agreement or otherwise will not constitute a waiver of such rights, nor will any single or partial exercise by any party to this Agreement of any of its rights under this Agreement preclude any other or further exercise of such rights or any other rights under this Agreement. The rights and remedies herein provided will be cumulative and not exclusive of any rights or remedies provided by Law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3.05.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 The headings contained in this Agreement and in the table of contents to this Agreement are for reference purposes only and shall not affect in any way the meaning or interpretation of this Agreement. All Schedules, Exhibits and Annexes attached hereto or referred to herein are hereby incorporated in and made a part of this Agreement as if set forth in full herein. The definitions of terms herein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to be followed by the phrase “without limitation”. The word “extent” in the phrase “to the extent” shall mean the degree to which a subject or other thing extends, and such phrase shall not mean simply “if”. The word “or” shall not be exclusive. The phrase “date hereof” or “date of this Agreement” shall be deemed to refer to [•], 2026. Unless the context requires otherwise, (a) any definition of or reference to any contract, instrument or other document or any Law herein shall be construed as referring to such contract, instrument or other document or Law as from time to time amended, supplemented or otherwise modified, (b) any reference herein to any Person shall be construed to include such Person’s successors and assigns, (c) the words “herein”, “hereof” and “hereunder”, and words of similar import, shall be construed to refer to this Agreement in its entirety and not to any particular provision hereof and (d) all references herein to Articles, Sections, Schedules, Exhibits and Annexes shall be construed to refer to Articles and Sections of, and Schedules, Exhibits and Annexes to, this Agreement. This Agreement shall be construed without regard to any presumption or rule requiring construction or interpretation against the party drafting or causing any instrument to be drafted.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3.06.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the purpose of this Agreement is fulfilled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3.07.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and delivered (including by electronic, facsimile transmission, DocuSign or .pdf) in counterparts, and by the different parties hereto in separate counterparts, each of which when executed shall be deemed to be an original but all of which taken together shall constitute one and the same agreement and will be considered to have the same binding legal effect as if it were the original signed version thereof delivered in person.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3.08.          </w:t>
      </w:r>
      <w:r>
        <w:rPr>
          <w:rFonts w:ascii="Times New Roman PS Std;serif" w:hAnsi="Times New Roman PS Std;serif"/>
          <w:b w:val="false"/>
          <w:i w:val="false"/>
          <w:caps w:val="false"/>
          <w:smallCaps w:val="false"/>
          <w:sz w:val="20"/>
          <w:u w:val="single"/>
        </w:rPr>
        <w:t>Entire Agreement; No Third-Party Beneficiaries</w:t>
      </w:r>
      <w:r>
        <w:rPr>
          <w:rFonts w:ascii="Times New Roman PS Std;serif" w:hAnsi="Times New Roman PS Std;serif"/>
          <w:b w:val="false"/>
          <w:i w:val="false"/>
          <w:caps w:val="false"/>
          <w:smallCaps w:val="false"/>
          <w:sz w:val="20"/>
        </w:rPr>
        <w:t>. This Agreement constitutes the entire agreement, and supersedes all prior agreements and understandings, both written and oral, among the parties with respect to the subject matter hereof and is not intended to and does not confer upon any Person other than the parties hereto (and their respective Permitted Transferees) any rights or remedies, except as expressly provided in this Agreement (it being understood and agreed that the Persons referred to in any Section of this Agreement as having such rights and who or which are not parties hereto shall be entitled to the benefits of, and to enforce the provisions of, such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3.09.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3.02 shall be effective service of process for any such Action (without limiting other means).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3.10.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under this Agreement will be assigned, in whole or in part, by any of the parties without the prior written consent of the other parties, except rights, interests and obligations in respect of Equity Securities may be assigned in conjunction with a Transfer of such Equity Securities to a Permitted Transferee who has executed and delivered a joinder to this Agreement substantially in the form of Exhibit A hereto. Any purported assignment in violation of the preceding sentence will be void. Subject to the preceding sentences, this Agreement will be binding upon, inure to the benefit of and be enforceable by the parties and their respective successors and assigns.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3.11.          </w:t>
      </w:r>
      <w:r>
        <w:rPr>
          <w:rFonts w:ascii="Times New Roman PS Std;serif" w:hAnsi="Times New Roman PS Std;serif"/>
          <w:b w:val="false"/>
          <w:i w:val="false"/>
          <w:caps w:val="false"/>
          <w:smallCaps w:val="false"/>
          <w:sz w:val="20"/>
          <w:u w:val="single"/>
        </w:rPr>
        <w:t>Enforcement</w:t>
      </w:r>
      <w:r>
        <w:rPr>
          <w:rFonts w:ascii="Times New Roman PS Std;serif" w:hAnsi="Times New Roman PS Std;serif"/>
          <w:b w:val="false"/>
          <w:i w:val="false"/>
          <w:caps w:val="false"/>
          <w:smallCaps w:val="false"/>
          <w:sz w:val="20"/>
        </w:rPr>
        <w:t>. The parties agree that the parties would be irreparably damaged if any provision of this Agreement were not performed in accordance with its specific terms or was otherwise breached, and that monetary damages, even if available, would not be an adequate remedy therefor.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 Each of the parties acknowledges and agrees that the right of specific enforcement is an integral part of the transactions contemplated by this Agreement and without such right, none of the parties would have entered into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3.12.          </w:t>
      </w:r>
      <w:r>
        <w:rPr>
          <w:rFonts w:ascii="Times New Roman PS Std;serif" w:hAnsi="Times New Roman PS Std;serif"/>
          <w:b w:val="false"/>
          <w:i w:val="false"/>
          <w:caps w:val="false"/>
          <w:smallCaps w:val="false"/>
          <w:sz w:val="20"/>
          <w:u w:val="single"/>
        </w:rPr>
        <w:t>Effectiveness; Termination; Survival</w:t>
      </w:r>
      <w:r>
        <w:rPr>
          <w:rFonts w:ascii="Times New Roman PS Std;serif" w:hAnsi="Times New Roman PS Std;serif"/>
          <w:b w:val="false"/>
          <w:i w:val="false"/>
          <w:caps w:val="false"/>
          <w:smallCaps w:val="false"/>
          <w:sz w:val="20"/>
        </w:rPr>
        <w:t>. This Agreement shall become effective upon its execution and delivery by the Company, the NTC Investor and the Investors’ Representative. Notwithstanding anything to the contrary contained in this Agreement, this Agreement will automatically terminate upon the date on which Article II terminates pursuant to Section 2.10, and this Agreement shall thereafter be null and void, except that this Article III and Section 2.08 and Section 2.11 shall survive any such termination indefinitely. Nothing in this Section 3.12 will be deemed to release any party from any liability for any willful and material breach of this Agreement occurring prior to such termination or impair the right of any party to compel specific performance by the other parties of their respective obligations under this Agreement occurring prior to such termination.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3.13.          </w:t>
      </w:r>
      <w:r>
        <w:rPr>
          <w:rFonts w:ascii="Times New Roman PS Std;serif" w:hAnsi="Times New Roman PS Std;serif"/>
          <w:b w:val="false"/>
          <w:i w:val="false"/>
          <w:caps w:val="false"/>
          <w:smallCaps w:val="false"/>
          <w:sz w:val="20"/>
          <w:u w:val="single"/>
        </w:rPr>
        <w:t>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Investors and their respective Affiliates shall, and shall direct their respective Representatives to, (i) hold confidential and not disclose, without the prior written approval of the Company, all confidential or proprietary written, recorded or oral information or data (including research, developmental, technical, marketing, sales, financial, operating, performance, cost, business and process information or data,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knowhow and computer programming and other software techniques) provided by or on behalf of the Company or any of its Subsidiaries to the Investors or their respective Affiliates or Representatives, whether such confidentiality or proprietary status is indicated orally or in writing or if such Investor should reasonably have understood that the information should be treated as confidential, whether or not the specific words “confidential” or “proprietary” are used (“</w:t>
      </w:r>
      <w:r>
        <w:rPr>
          <w:rFonts w:ascii="Times New Roman PS Std;serif" w:hAnsi="Times New Roman PS Std;serif"/>
          <w:b w:val="false"/>
          <w:i w:val="false"/>
          <w:caps w:val="false"/>
          <w:smallCaps w:val="false"/>
          <w:sz w:val="20"/>
          <w:u w:val="single"/>
        </w:rPr>
        <w:t>Confidential Information</w:t>
      </w:r>
      <w:r>
        <w:rPr>
          <w:caps w:val="false"/>
          <w:smallCaps w:val="false"/>
        </w:rPr>
        <w:t>”</w:t>
      </w:r>
      <w:r>
        <w:rPr>
          <w:rFonts w:ascii="Times New Roman PS Std;serif" w:hAnsi="Times New Roman PS Std;serif"/>
          <w:b w:val="false"/>
          <w:i w:val="false"/>
          <w:caps w:val="false"/>
          <w:smallCaps w:val="false"/>
          <w:sz w:val="20"/>
        </w:rPr>
        <w:t xml:space="preserve">), and (ii) use such Confidential Information only for the purpose of performing its obligations hereunder, managing and monitoring such Investor’s investment in the Company and its Subsidiaries and carrying on the business of the Company and its Subsidiaries;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Investors and their respective Affiliates and Representatives may disclose or use such Confidential Information (x) in their capacity as directors, officers or employees of the Company or its Subsidiaries, (y) to each other, in their capacities as such and, with respect to Representatives that are attorneys, accountants, consultants and other professional advisors, to the extent necessary to their services in connection with monitoring its investment in the Company and its Subsidiaries, to any affiliate of such Investor and their respective directors, employees, consultants and representatives, in each case in the ordinary course of business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recipients of such Confidential Information are subject to customary confidentiality and non-disclosure obligations) or (z) as may be necessary in connection with such Investor’s enforcement of its rights in connection with this Agreement. Each Investor acknowledges and agrees that it shall be liable for any breach of the terms of this Section 3.13 applicable to Affiliates and Representatives by its Affiliates and Representatives (solely to the extent that such Representative received the applicable Confidential Information from such Investor), except with respect to an Affiliate or Representative who enters into or has entered into a confidentiality agreement with the Company with respect to the subject matter of this Section 3.13.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the foregoing, the confidentiality and non-use obligations of Section 3.13(a) will not apply to Confidential Information:</w:t>
      </w:r>
    </w:p>
    <w:p>
      <w:pPr>
        <w:pStyle w:val="TextBody"/>
        <w:widowControl/>
        <w:pBdr/>
        <w:bidi w:val="0"/>
        <w:spacing w:before="160" w:after="283"/>
        <w:ind w:left="1440" w:right="0" w:firstLine="720"/>
        <w:jc w:val="left"/>
        <w:rPr/>
      </w:pPr>
      <w:r>
        <w:rPr>
          <w:rFonts w:ascii="Times New Roman PS Std;serif" w:hAnsi="Times New Roman PS Std;serif"/>
          <w:b w:val="false"/>
          <w:i w:val="false"/>
          <w:caps w:val="false"/>
          <w:smallCaps w:val="false"/>
          <w:sz w:val="20"/>
        </w:rPr>
        <w:t xml:space="preserve">(i)          which any Investor or any of its Representatives is required to disclose by judicial or administrative process, or by other requirements of applicable Law or regulation or any governmental authority (including any applicable rule, regulation or order of a self-governing authority, such as the NYSE American);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where and to the extent legally permitted and reasonably practicable, such Investor shall (A) give the Company reasonable notice of any such requirement and, to the extent protective measures consistent with such requirement are available, the opportunity to seek appropriate protective measures and (B) reasonably cooperate with the Company, at the Company’s sole cost and expense, in attempting to obtain such protective measures;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which becomes available to the public other than as a result of a breach of Section 3.13;</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which can be demonstrated has been independently developed by such Investor without use of or reliance upon Confidential Information;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which has been provided to any Investor or any of its Representatives by a Third Party who is not known after reasonable inquiry to be subject to confidentiality obligations to the Company or any of its Affiliates.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3.14.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EACH PARTY ACKNOWLEDGES AND AGREES THAT ANY CONTROVERSY WHICH MAY ARISE UNDER THIS AGREEMENT IS LIKELY TO INVOLVE COMPLICATED AND DIFFICULT ISSUES, AND, THEREFORE, EACH PARTY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PARTY HERETO CERTIFIES AND ACKNOWLEDGES THAT (A) NO REPRESENTATIVE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AND THE TRANSACTIONS CONTEMPLATED HEREBY BY, AMONG OTHER THINGS, THE MUTUAL WAIVERS IN THIS SECTION 3.14.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3.15.          </w:t>
      </w:r>
      <w:r>
        <w:rPr>
          <w:rFonts w:ascii="Times New Roman PS Std;serif" w:hAnsi="Times New Roman PS Std;serif"/>
          <w:b w:val="false"/>
          <w:i w:val="false"/>
          <w:caps w:val="false"/>
          <w:smallCaps w:val="false"/>
          <w:sz w:val="20"/>
          <w:u w:val="single"/>
        </w:rPr>
        <w:t>Representations and Warranties.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hereby makes the representations and warranties set forth in Annex A to the Investors, each of which is true and correct as of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Investor, severally and not jointly, hereby makes the representations and warranties set forth in Annex B to the Company solely as to itself, each of which is true and correct as of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3.16.          </w:t>
      </w:r>
      <w:r>
        <w:rPr>
          <w:rFonts w:ascii="Times New Roman PS Std;serif" w:hAnsi="Times New Roman PS Std;serif"/>
          <w:b w:val="false"/>
          <w:i w:val="false"/>
          <w:caps w:val="false"/>
          <w:smallCaps w:val="false"/>
          <w:sz w:val="20"/>
          <w:u w:val="single"/>
        </w:rPr>
        <w:t>Investors’ Representative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Investors’ Representative is hereby irrevocably appointed as the representative, agent, proxy and attorney-in-fact for all the Investors for all purposes under this Agreement, including the full power and authority on the Investors’ behalf (i) to perform the rights and acts described as being within its authority, discretion or power as set forth herein, including all such actions which are contemplated to be performed, reviewed or otherwise within its discretion herein, including the right to negotiate and settle disputes arising under, or relating to, this Agreement (except as otherwise expressly set forth herein by reference to a different standard or requirement for approval) and (ii) to take all other actions to be taken by or on behalf of the Investors in connection with this Agreement and consistent with the foregoing authority. The Investors, by execution of this Agreement, further agree that such agency and proxy are coupled with an interest, are therefore irrevocable without the consent of the Investors’ Representative and shall survive the death, incapacity, bankruptcy, dissolution or liquidation of any Investor. All decisions and actions by the Investors’ Representative pursuant to the authority granted herein shall be binding upon all of the Investors, and no Investor shall have the right to object, dissent, protest or otherwise contest the same. The Company may conclusively rely, without independent verification or investigation, upon any such decision or action of the Investors’ Representative as being the binding decision or action of every Investor. The Investors’ Representative shall have no duties or obligations to the Investors hereunder, except as expressly set forth in this Agreement. By its execution of this Agreement, each Investor hereby irrevocably approves and adopts the appointment of the Investors’ Representative as such Investor’s representative, agent, proxy and attorney-in-fact to act in accordance with the authority granted in this Section 3.16.</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Following the date hereof, a majority-in-interest of the Investors (as determined by their relative entitlement to Merger Consideration (as defined in the Merger Agreement) as of the Closing) may, by written consent, appoint a new representative as the Investors’ Representative. Notice, together with a copy of the written consent appointing such new representative and bearing the signatures of such majority-in-interest of the Investors, must be delivered to the Company not less than 15 days prior to such appointment. Such appointment will be effective upon the later of the date indicated in the consent or the date such consent is received by the Company. In the event that the Investors’ Representative becomes unable or unwilling to continue in its capacity as Investors’ Representative, or if the Investors’ Representative resigns as the Investors’ Representative, a majority-in-interest of the Investors (determined as set forth above) may by written consent appoint a new representative as the Investors’ Representative.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contained in this Agreement, the Investors’ Representative in its capacity as such shall have no duties or responsibilities except those expressly set forth herein, and no implied covenants, functions, responsibilities, duties, obligations or liabilities on behalf of any Investor shall otherwise exist against the Investors’ Representative. No bond shall be required of the Investors’ Representative, and the Investors’ Representative shall receive no compensation for its services. The Investors’ Representative shall not be liable to any Investor for any act done or omitted hereunder as the Investors’ Representative except for its willful misconduct or actual fraud with respect to any matter arising out of or in connection with the acceptance or administration of its duties hereunder (it being understood that any act done or omitted pursuant to the advice of counsel shall be conclusive evidence of the absence of willful misconduct or actual fraud). The Investors’ Representative shall be entitled to be indemnified by the Investors (among them in accordance with their respective pro rata share of entitlement to Merger Consideration (as defined in the Merger Agreement) as of the Closing) for any loss, liability or expense incurred without willful misconduct or actual fraud on the part of the Investors’ Representative with respect to any matter arising out of or in connection with the acceptance or administration of its duties hereunder (including the hiring of legal counsel and the incurring of legal fees and costs). The Investors’ Representative shall be entitled to recover from the Investors (among them in accordance with their respective pro rata share of entitlement to Merger Consideration (as defined in the Merger Agreement) as of the Closing) any out-of-pocket costs and expenses incurred by the Investors’ Representative in good faith and in connection with actions taken by the Investors’ Representative pursuant to this Agreement or the acceptance or administration of its duties hereunder (including the hiring of legal counsel and the incurring of legal fees and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Registration Rights Agreement as of the day and year first above written.</w:t>
      </w:r>
    </w:p>
    <w:tbl>
      <w:tblPr>
        <w:tblW w:w="4564" w:type="dxa"/>
        <w:jc w:val="left"/>
        <w:tblInd w:w="0" w:type="dxa"/>
        <w:tblLayout w:type="fixed"/>
        <w:tblCellMar>
          <w:top w:w="0" w:type="dxa"/>
          <w:left w:w="0" w:type="dxa"/>
          <w:bottom w:w="0" w:type="dxa"/>
          <w:right w:w="0" w:type="dxa"/>
        </w:tblCellMar>
      </w:tblPr>
      <w:tblGrid>
        <w:gridCol w:w="161"/>
        <w:gridCol w:w="146"/>
        <w:gridCol w:w="450"/>
        <w:gridCol w:w="450"/>
        <w:gridCol w:w="2318"/>
        <w:gridCol w:w="450"/>
        <w:gridCol w:w="58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5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 xml:space="preserve">AIR INDUSTRIES GROUP, </w:t>
            </w:r>
            <w:r>
              <w:rPr>
                <w:rFonts w:ascii="Times New Roman PS Std;serif" w:hAnsi="Times New Roman PS Std;serif"/>
                <w:b w:val="false"/>
                <w:i w:val="false"/>
                <w:caps w:val="false"/>
                <w:smallCaps w:val="false"/>
                <w:sz w:val="20"/>
              </w:rPr>
              <w:t>as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23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50" w:type="dxa"/>
            <w:tcBorders/>
          </w:tcPr>
          <w:p>
            <w:pPr>
              <w:pStyle w:val="TableContents"/>
              <w:bidi w:val="0"/>
              <w:spacing w:before="0" w:after="283"/>
              <w:jc w:val="left"/>
              <w:rPr/>
            </w:pPr>
            <w:r>
              <w:rPr/>
              <w:t> </w:t>
            </w:r>
          </w:p>
        </w:tc>
        <w:tc>
          <w:tcPr>
            <w:tcW w:w="589"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23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50" w:type="dxa"/>
            <w:tcBorders/>
          </w:tcPr>
          <w:p>
            <w:pPr>
              <w:pStyle w:val="TableContents"/>
              <w:bidi w:val="0"/>
              <w:spacing w:before="0" w:after="283"/>
              <w:jc w:val="left"/>
              <w:rPr/>
            </w:pPr>
            <w:r>
              <w:rPr/>
              <w:t> </w:t>
            </w:r>
          </w:p>
        </w:tc>
        <w:tc>
          <w:tcPr>
            <w:tcW w:w="589"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 </w:t>
            </w:r>
          </w:p>
        </w:tc>
        <w:tc>
          <w:tcPr>
            <w:tcW w:w="23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50" w:type="dxa"/>
            <w:tcBorders/>
          </w:tcPr>
          <w:p>
            <w:pPr>
              <w:pStyle w:val="TableContents"/>
              <w:bidi w:val="0"/>
              <w:spacing w:before="0" w:after="283"/>
              <w:jc w:val="left"/>
              <w:rPr/>
            </w:pPr>
            <w:r>
              <w:rPr/>
              <w:t> </w:t>
            </w:r>
          </w:p>
        </w:tc>
        <w:tc>
          <w:tcPr>
            <w:tcW w:w="589" w:type="dxa"/>
            <w:tcBorders/>
          </w:tcPr>
          <w:p>
            <w:pPr>
              <w:pStyle w:val="TableContents"/>
              <w:bidi w:val="0"/>
              <w:spacing w:before="0" w:after="283"/>
              <w:jc w:val="left"/>
              <w:rPr/>
            </w:pPr>
            <w:r>
              <w:rPr/>
              <w:t> </w:t>
            </w:r>
          </w:p>
        </w:tc>
      </w:tr>
    </w:tbl>
    <w:tbl>
      <w:tblPr>
        <w:tblW w:w="1775" w:type="dxa"/>
        <w:jc w:val="left"/>
        <w:tblInd w:w="0" w:type="dxa"/>
        <w:tblLayout w:type="fixed"/>
        <w:tblCellMar>
          <w:top w:w="0" w:type="dxa"/>
          <w:left w:w="0" w:type="dxa"/>
          <w:bottom w:w="0" w:type="dxa"/>
          <w:right w:w="0" w:type="dxa"/>
        </w:tblCellMar>
      </w:tblPr>
      <w:tblGrid>
        <w:gridCol w:w="161"/>
        <w:gridCol w:w="146"/>
        <w:gridCol w:w="155"/>
        <w:gridCol w:w="155"/>
        <w:gridCol w:w="800"/>
        <w:gridCol w:w="155"/>
        <w:gridCol w:w="20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468"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80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5" w:type="dxa"/>
            <w:tcBorders/>
          </w:tcPr>
          <w:p>
            <w:pPr>
              <w:pStyle w:val="TableContents"/>
              <w:bidi w:val="0"/>
              <w:spacing w:before="0" w:after="283"/>
              <w:jc w:val="left"/>
              <w:rPr/>
            </w:pPr>
            <w:r>
              <w:rPr/>
              <w:t> </w:t>
            </w:r>
          </w:p>
        </w:tc>
        <w:tc>
          <w:tcPr>
            <w:tcW w:w="203"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80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5" w:type="dxa"/>
            <w:tcBorders/>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 </w:t>
            </w:r>
          </w:p>
        </w:tc>
        <w:tc>
          <w:tcPr>
            <w:tcW w:w="80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5" w:type="dxa"/>
            <w:tcBorders/>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 </w:t>
            </w:r>
          </w:p>
        </w:tc>
      </w:tr>
    </w:tbl>
    <w:tbl>
      <w:tblPr>
        <w:tblW w:w="5944" w:type="dxa"/>
        <w:jc w:val="left"/>
        <w:tblInd w:w="0" w:type="dxa"/>
        <w:tblLayout w:type="fixed"/>
        <w:tblCellMar>
          <w:top w:w="0" w:type="dxa"/>
          <w:left w:w="0" w:type="dxa"/>
          <w:bottom w:w="0" w:type="dxa"/>
          <w:right w:w="0" w:type="dxa"/>
        </w:tblCellMar>
      </w:tblPr>
      <w:tblGrid>
        <w:gridCol w:w="161"/>
        <w:gridCol w:w="146"/>
        <w:gridCol w:w="596"/>
        <w:gridCol w:w="596"/>
        <w:gridCol w:w="3069"/>
        <w:gridCol w:w="596"/>
        <w:gridCol w:w="78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3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 as the Investors’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306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96" w:type="dxa"/>
            <w:tcBorders/>
          </w:tcPr>
          <w:p>
            <w:pPr>
              <w:pStyle w:val="TableContents"/>
              <w:bidi w:val="0"/>
              <w:spacing w:before="0" w:after="283"/>
              <w:jc w:val="left"/>
              <w:rPr/>
            </w:pPr>
            <w:r>
              <w:rPr/>
              <w:t> </w:t>
            </w:r>
          </w:p>
        </w:tc>
        <w:tc>
          <w:tcPr>
            <w:tcW w:w="780"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306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96" w:type="dxa"/>
            <w:tcBorders/>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 </w:t>
            </w:r>
          </w:p>
        </w:tc>
        <w:tc>
          <w:tcPr>
            <w:tcW w:w="306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596" w:type="dxa"/>
            <w:tcBorders/>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insert all Tenax Members and Tenax Warrantholders as of immediately prior to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A</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JOINDER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Joinder Agreement (this “</w:t>
      </w:r>
      <w:r>
        <w:rPr>
          <w:rFonts w:ascii="Times New Roman PS Std;serif" w:hAnsi="Times New Roman PS Std;serif"/>
          <w:b w:val="false"/>
          <w:i w:val="false"/>
          <w:caps w:val="false"/>
          <w:smallCaps w:val="false"/>
          <w:sz w:val="20"/>
          <w:u w:val="single"/>
        </w:rPr>
        <w:t>Joinder Agreement</w:t>
      </w:r>
      <w:r>
        <w:rPr>
          <w:caps w:val="false"/>
          <w:smallCaps w:val="false"/>
        </w:rPr>
        <w:t>”</w:t>
      </w:r>
      <w:r>
        <w:rPr>
          <w:rFonts w:ascii="Times New Roman PS Std;serif" w:hAnsi="Times New Roman PS Std;serif"/>
          <w:b w:val="false"/>
          <w:i w:val="false"/>
          <w:caps w:val="false"/>
          <w:smallCaps w:val="false"/>
          <w:sz w:val="20"/>
        </w:rPr>
        <w:t>) is made as of the date written below by the undersigned (the “</w:t>
      </w:r>
      <w:r>
        <w:rPr>
          <w:rFonts w:ascii="Times New Roman PS Std;serif" w:hAnsi="Times New Roman PS Std;serif"/>
          <w:b w:val="false"/>
          <w:i w:val="false"/>
          <w:caps w:val="false"/>
          <w:smallCaps w:val="false"/>
          <w:sz w:val="20"/>
          <w:u w:val="single"/>
        </w:rPr>
        <w:t>Joining Party</w:t>
      </w:r>
      <w:r>
        <w:rPr>
          <w:caps w:val="false"/>
          <w:smallCaps w:val="false"/>
        </w:rPr>
        <w:t>”</w:t>
      </w:r>
      <w:r>
        <w:rPr>
          <w:rFonts w:ascii="Times New Roman PS Std;serif" w:hAnsi="Times New Roman PS Std;serif"/>
          <w:b w:val="false"/>
          <w:i w:val="false"/>
          <w:caps w:val="false"/>
          <w:smallCaps w:val="false"/>
          <w:sz w:val="20"/>
        </w:rPr>
        <w:t>) in accordance with the Registration Rights Agreement dated as of [•], 2026 (as the same may be amended from time to time, the “</w:t>
      </w:r>
      <w:r>
        <w:rPr>
          <w:rFonts w:ascii="Times New Roman PS Std;serif" w:hAnsi="Times New Roman PS Std;serif"/>
          <w:b w:val="false"/>
          <w:i w:val="false"/>
          <w:caps w:val="false"/>
          <w:smallCaps w:val="false"/>
          <w:sz w:val="20"/>
          <w:u w:val="single"/>
        </w:rPr>
        <w:t>Registration Rights Agreement</w:t>
      </w:r>
      <w:r>
        <w:rPr>
          <w:caps w:val="false"/>
          <w:smallCaps w:val="false"/>
        </w:rPr>
        <w:t>”</w:t>
      </w:r>
      <w:r>
        <w:rPr>
          <w:rFonts w:ascii="Times New Roman PS Std;serif" w:hAnsi="Times New Roman PS Std;serif"/>
          <w:b w:val="false"/>
          <w:i w:val="false"/>
          <w:caps w:val="false"/>
          <w:smallCaps w:val="false"/>
          <w:sz w:val="20"/>
        </w:rPr>
        <w:t>) among Air Industries Group, a Nevada corporation, and the other parties thereto. Capitalized terms used but not defined herein shall have the meaning ascribed to such terms in the Registration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Joining Party hereby acknowledges, agrees and confirms that, by its execution of this Joinder Agreement, the Joining Party shall be deemed to be a party to and an “</w:t>
      </w:r>
      <w:r>
        <w:rPr>
          <w:rFonts w:ascii="Times New Roman PS Std;serif" w:hAnsi="Times New Roman PS Std;serif"/>
          <w:b w:val="false"/>
          <w:i w:val="false"/>
          <w:caps w:val="false"/>
          <w:smallCaps w:val="false"/>
          <w:sz w:val="20"/>
          <w:u w:val="single"/>
        </w:rPr>
        <w:t>Investor</w:t>
      </w:r>
      <w:r>
        <w:rPr>
          <w:caps w:val="false"/>
          <w:smallCaps w:val="false"/>
        </w:rPr>
        <w:t xml:space="preserve">” </w:t>
      </w:r>
      <w:r>
        <w:rPr>
          <w:rFonts w:ascii="Times New Roman PS Std;serif" w:hAnsi="Times New Roman PS Std;serif"/>
          <w:b w:val="false"/>
          <w:i w:val="false"/>
          <w:caps w:val="false"/>
          <w:smallCaps w:val="false"/>
          <w:sz w:val="20"/>
        </w:rPr>
        <w:t>under the Registration Rights Agreement as of the date hereof and, without limiting the generality of the foregoing, shall be subject to the Registration Rights Agreement and shall have all of the rights and obligations of an Investor thereunder as if it had executed the Registration Rights Agreement. The Joining Party hereby ratifies, as of the date hereof, and agrees to be bound by, all of the terms, provisions and conditions contained in the Registration Rights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executed this Joinder Agreement as of the date written below.</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__________, ____</w:t>
      </w:r>
    </w:p>
    <w:tbl>
      <w:tblPr>
        <w:tblW w:w="3080" w:type="dxa"/>
        <w:jc w:val="left"/>
        <w:tblInd w:w="0" w:type="dxa"/>
        <w:tblLayout w:type="fixed"/>
        <w:tblCellMar>
          <w:top w:w="0" w:type="dxa"/>
          <w:left w:w="0" w:type="dxa"/>
          <w:bottom w:w="0" w:type="dxa"/>
          <w:right w:w="0" w:type="dxa"/>
        </w:tblCellMar>
      </w:tblPr>
      <w:tblGrid>
        <w:gridCol w:w="161"/>
        <w:gridCol w:w="146"/>
        <w:gridCol w:w="293"/>
        <w:gridCol w:w="293"/>
        <w:gridCol w:w="1510"/>
        <w:gridCol w:w="293"/>
        <w:gridCol w:w="384"/>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773"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[NAME OF JOINING PARTY]</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151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93" w:type="dxa"/>
            <w:tcBorders/>
          </w:tcPr>
          <w:p>
            <w:pPr>
              <w:pStyle w:val="TableContents"/>
              <w:bidi w:val="0"/>
              <w:spacing w:before="0" w:after="283"/>
              <w:jc w:val="left"/>
              <w:rPr/>
            </w:pPr>
            <w:r>
              <w:rPr/>
              <w:t> </w:t>
            </w:r>
          </w:p>
        </w:tc>
        <w:tc>
          <w:tcPr>
            <w:tcW w:w="384"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151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93" w:type="dxa"/>
            <w:tcBorders/>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151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93" w:type="dxa"/>
            <w:tcBorders/>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293" w:type="dxa"/>
            <w:tcBorders/>
          </w:tcPr>
          <w:p>
            <w:pPr>
              <w:pStyle w:val="TableContents"/>
              <w:bidi w:val="0"/>
              <w:spacing w:before="0" w:after="283"/>
              <w:jc w:val="left"/>
              <w:rPr/>
            </w:pPr>
            <w:r>
              <w:rPr/>
              <w:t> </w:t>
            </w:r>
          </w:p>
        </w:tc>
        <w:tc>
          <w:tcPr>
            <w:tcW w:w="2187" w:type="dxa"/>
            <w:gridSpan w:val="3"/>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for Notices:</w:t>
            </w:r>
          </w:p>
        </w:tc>
      </w:tr>
    </w:tbl>
    <w:p>
      <w:pPr>
        <w:pStyle w:val="TextBody"/>
        <w:widowControl/>
        <w:pBdr/>
        <w:bidi w:val="0"/>
        <w:spacing w:before="3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AGREED ON THIS [_____] day of [__________], 20[_]:</w:t>
      </w:r>
    </w:p>
    <w:tbl>
      <w:tblPr>
        <w:tblW w:w="2856" w:type="dxa"/>
        <w:jc w:val="left"/>
        <w:tblInd w:w="0" w:type="dxa"/>
        <w:tblLayout w:type="fixed"/>
        <w:tblCellMar>
          <w:top w:w="0" w:type="dxa"/>
          <w:left w:w="0" w:type="dxa"/>
          <w:bottom w:w="0" w:type="dxa"/>
          <w:right w:w="0" w:type="dxa"/>
        </w:tblCellMar>
      </w:tblPr>
      <w:tblGrid>
        <w:gridCol w:w="1781"/>
        <w:gridCol w:w="368"/>
        <w:gridCol w:w="370"/>
        <w:gridCol w:w="146"/>
        <w:gridCol w:w="191"/>
      </w:tblGrid>
      <w:tr>
        <w:trPr/>
        <w:tc>
          <w:tcPr>
            <w:tcW w:w="2519"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AIR INDUSTRIES GROUP,</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68" w:type="dxa"/>
            <w:tcBorders/>
          </w:tcPr>
          <w:p>
            <w:pPr>
              <w:pStyle w:val="TableContents"/>
              <w:bidi w:val="0"/>
              <w:spacing w:before="0" w:after="283"/>
              <w:jc w:val="left"/>
              <w:rPr/>
            </w:pPr>
            <w:r>
              <w:rPr/>
              <w:t> </w:t>
            </w:r>
          </w:p>
        </w:tc>
        <w:tc>
          <w:tcPr>
            <w:tcW w:w="370"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68" w:type="dxa"/>
            <w:tcBorders/>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68" w:type="dxa"/>
            <w:tcBorders/>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Organization, Standing and Power</w:t>
      </w:r>
      <w:r>
        <w:rPr>
          <w:rFonts w:ascii="Times New Roman PS Std;serif" w:hAnsi="Times New Roman PS Std;serif"/>
          <w:b w:val="false"/>
          <w:i w:val="false"/>
          <w:caps w:val="false"/>
          <w:smallCaps w:val="false"/>
          <w:sz w:val="20"/>
        </w:rPr>
        <w:t>. The Company is duly organized, validly existing and in good standing under the laws of the jurisdiction in which it is organized.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Authority; Execution and Delivery; Enforceability</w:t>
      </w:r>
      <w:r>
        <w:rPr>
          <w:rFonts w:ascii="Times New Roman PS Std;serif" w:hAnsi="Times New Roman PS Std;serif"/>
          <w:b w:val="false"/>
          <w:i w:val="false"/>
          <w:caps w:val="false"/>
          <w:smallCaps w:val="false"/>
          <w:sz w:val="20"/>
        </w:rPr>
        <w:t>. The Company has all requisite corporate power and authority to execute and deliver this Agreement and to comply with the terms hereof. The execution and delivery by the Company of this Agreement and the compliance by the Company with this Agreement have been, or prior to the date of this Agreement will have been, duly authorized by all necessary company action on the part of the Company. The Company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No Conflicts;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(i)          The execution and delivery by the Company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pledges, liens, charges, mortgages, encumbrances and security interests of any kind or nature whatsoever (collectively, “</w:t>
      </w:r>
      <w:r>
        <w:rPr>
          <w:rFonts w:ascii="Times New Roman PS Std;serif" w:hAnsi="Times New Roman PS Std;serif"/>
          <w:b w:val="false"/>
          <w:i w:val="false"/>
          <w:caps w:val="false"/>
          <w:smallCaps w:val="false"/>
          <w:sz w:val="20"/>
          <w:u w:val="single"/>
        </w:rPr>
        <w:t>Liens</w:t>
      </w:r>
      <w:r>
        <w:rPr>
          <w:caps w:val="false"/>
          <w:smallCaps w:val="false"/>
        </w:rPr>
        <w:t>”</w:t>
      </w:r>
      <w:r>
        <w:rPr>
          <w:rFonts w:ascii="Times New Roman PS Std;serif" w:hAnsi="Times New Roman PS Std;serif"/>
          <w:b w:val="false"/>
          <w:i w:val="false"/>
          <w:caps w:val="false"/>
          <w:smallCaps w:val="false"/>
          <w:sz w:val="20"/>
        </w:rPr>
        <w:t>) upon any of the properties or assets of the Company or any of its subsidiaries (the “</w:t>
      </w:r>
      <w:r>
        <w:rPr>
          <w:rFonts w:ascii="Times New Roman PS Std;serif" w:hAnsi="Times New Roman PS Std;serif"/>
          <w:b w:val="false"/>
          <w:i w:val="false"/>
          <w:caps w:val="false"/>
          <w:smallCaps w:val="false"/>
          <w:sz w:val="20"/>
          <w:u w:val="single"/>
        </w:rPr>
        <w:t>Company Subsidiaries</w:t>
      </w:r>
      <w:r>
        <w:rPr>
          <w:caps w:val="false"/>
          <w:smallCaps w:val="false"/>
        </w:rPr>
        <w:t>”</w:t>
      </w:r>
      <w:r>
        <w:rPr>
          <w:rFonts w:ascii="Times New Roman PS Std;serif" w:hAnsi="Times New Roman PS Std;serif"/>
          <w:b w:val="false"/>
          <w:i w:val="false"/>
          <w:caps w:val="false"/>
          <w:smallCaps w:val="false"/>
          <w:sz w:val="20"/>
        </w:rPr>
        <w:t>) under, any provision of (A) the Charter, the Bylaws or the comparable organizational documents of any Company Subsidiary, (B) any contract, lease, license, indenture, note, bond, agreement, concession, franchise or other binding instrument (a “</w:t>
      </w:r>
      <w:r>
        <w:rPr>
          <w:rFonts w:ascii="Times New Roman PS Std;serif" w:hAnsi="Times New Roman PS Std;serif"/>
          <w:b w:val="false"/>
          <w:i w:val="false"/>
          <w:caps w:val="false"/>
          <w:smallCaps w:val="false"/>
          <w:sz w:val="20"/>
          <w:u w:val="single"/>
        </w:rPr>
        <w:t>Contract</w:t>
      </w:r>
      <w:r>
        <w:rPr>
          <w:caps w:val="false"/>
          <w:smallCaps w:val="false"/>
        </w:rPr>
        <w:t>”</w:t>
      </w:r>
      <w:r>
        <w:rPr>
          <w:rFonts w:ascii="Times New Roman PS Std;serif" w:hAnsi="Times New Roman PS Std;serif"/>
          <w:b w:val="false"/>
          <w:i w:val="false"/>
          <w:caps w:val="false"/>
          <w:smallCaps w:val="false"/>
          <w:sz w:val="20"/>
        </w:rPr>
        <w:t>) to which the Company or any Company Subsidiary is a party or by which any of their respective properties or assets is bound or (C) subject to the filings and other matters referred to in paragraph (3)(ii) below, any Law applicable to the Company or any Company Subsidiary or their respective properties or assets, other than, in the case of clauses (B) and (C) above, any such items that would not reasonably be expected to, individually or in the aggregate, have a material adverse effect on the ability of the Company to comply with the terms of this Agreement.</w:t>
      </w:r>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(ii)         No consent, approval, license, permit, order or authorization (“</w:t>
      </w:r>
      <w:r>
        <w:rPr>
          <w:rFonts w:ascii="Times New Roman PS Std;serif" w:hAnsi="Times New Roman PS Std;serif"/>
          <w:b w:val="false"/>
          <w:i w:val="false"/>
          <w:caps w:val="false"/>
          <w:smallCaps w:val="false"/>
          <w:sz w:val="20"/>
          <w:u w:val="single"/>
        </w:rPr>
        <w:t>Consent</w:t>
      </w:r>
      <w:r>
        <w:rPr>
          <w:caps w:val="false"/>
          <w:smallCaps w:val="false"/>
        </w:rPr>
        <w:t>”</w:t>
      </w:r>
      <w:r>
        <w:rPr>
          <w:rFonts w:ascii="Times New Roman PS Std;serif" w:hAnsi="Times New Roman PS Std;serif"/>
          <w:b w:val="false"/>
          <w:i w:val="false"/>
          <w:caps w:val="false"/>
          <w:smallCaps w:val="false"/>
          <w:sz w:val="20"/>
        </w:rPr>
        <w:t>) of, or registration, declaration or filing with, or permit from, any Governmental Entity, is required to be obtained or made by or with respect to the Company or any Company Subsidiary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the Company to comply with the terms 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Organization, Standing and Power</w:t>
      </w:r>
      <w:r>
        <w:rPr>
          <w:rFonts w:ascii="Times New Roman PS Std;serif" w:hAnsi="Times New Roman PS Std;serif"/>
          <w:b w:val="false"/>
          <w:i w:val="false"/>
          <w:caps w:val="false"/>
          <w:smallCaps w:val="false"/>
          <w:sz w:val="20"/>
        </w:rPr>
        <w:t>. Such Investor is duly organized, validly existing and in good standing under the laws of the jurisdiction in which it is organized.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Authority; Execution and Delivery; Enforceability</w:t>
      </w:r>
      <w:r>
        <w:rPr>
          <w:rFonts w:ascii="Times New Roman PS Std;serif" w:hAnsi="Times New Roman PS Std;serif"/>
          <w:b w:val="false"/>
          <w:i w:val="false"/>
          <w:caps w:val="false"/>
          <w:smallCaps w:val="false"/>
          <w:sz w:val="20"/>
        </w:rPr>
        <w:t>. Such Investor has all requisite limited liability company or similar power and authority to execute and deliver this Agreement and to comply with the terms hereof. The execution and delivery by such Investor of this Agreement and its compliance with the terms hereof have been duly authorized by all necessary limited liability company or similar action on the part of such Investor. All required approvals, if any, from the limited partners, members or other stockholders of such Investor to enter into this Agreement and comply with its terms have been granted. Such Investor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No Conflicts;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execution and delivery by such Investor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Lien upon any of the properties or assets of such Investor or any of its subsidiaries under, any provision of (A) the organizational documents of such Investor or any of such Investor’s subsidiaries, (B) any Contract to which such Investor or any of its subsidiaries is a party or by which any of their respective properties or assets is bound or (C) subject to the filings and other matters referred to in paragraph (3)(ii) below, any Law applicable to such Investor or any of its subsidiaries or their respective properties or assets, other than, in the case of clauses (B) and (C) above, any such items that would not reasonably be expected to, individually or in the aggregate, have a material adverse effect on the ability of such Investor to comply with the terms of this Agreement.</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Consent of, or registration, declaration or filing with, or permit from, any Governmental Entity is required to be obtained or made by or with respect to such Investor or any of its subsidiaries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such Investor to comply with the terms of this Agreement.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val="false"/>
          <w:caps w:val="false"/>
          <w:smallCaps w:val="false"/>
          <w:sz w:val="20"/>
          <w:u w:val="single"/>
        </w:rPr>
        <w:t>Ownership of Equity Securities</w:t>
      </w:r>
      <w:r>
        <w:rPr>
          <w:rFonts w:ascii="Times New Roman PS Std;serif" w:hAnsi="Times New Roman PS Std;serif"/>
          <w:b w:val="false"/>
          <w:i w:val="false"/>
          <w:caps w:val="false"/>
          <w:smallCaps w:val="false"/>
          <w:sz w:val="20"/>
        </w:rPr>
        <w:t>. Except as has been disclosed to the Company in writing prior to the date of this Agreement, neither such Investor nor any of its Affiliates (i) beneficially owns any Equity Securities of the Company or (ii) holds any rights to acquire any Equity Securities of the Company except pursuant to the Merger Agreement or other Transaction Agreements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3" w:name="T2007"/>
      <w:bookmarkEnd w:id="123"/>
      <w:r>
        <w:rPr>
          <w:rFonts w:ascii="Times New Roman PS Std;serif" w:hAnsi="Times New Roman PS Std;serif"/>
          <w:b/>
          <w:i w:val="false"/>
          <w:caps w:val="false"/>
          <w:smallCaps w:val="false"/>
          <w:sz w:val="20"/>
        </w:rPr>
        <w:t xml:space="preserve">PART II: INFORMATION NOT REQUIRED IN PROSPECTUS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articles of incorporation provide for indemnification of AIR’s officers and directors against all expenses, liability and loss incurred or suffered by such person as an officer or director of AIR to the fullest extent permitted by the laws of the State of Nevada.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under NRS 78.752, a corporation is permitted to maintain directors’ and officers’ insurance, whether or not the corporation has the authority to indemnify such a person against such liability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entered into indemnification agreements with its directors and executive officers. These agreements, among other things, provide that AIR will indemnify, and advance expenses on behalf of, its directors and executive officers to the fullest extent permitted by applicable law. The indemnification agreements also establish the procedures that will apply under the agreements in the event a director or executive officer makes a claim for 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and officers of AIR are covered by directors’ and officers’ insurance policies maintained by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T2003">
              <w:r>
                <w:rPr>
                  <w:rStyle w:val="InternetLink"/>
                  <w:rFonts w:ascii="Times New Roman PS Std;serif" w:hAnsi="Times New Roman PS Std;serif"/>
                  <w:b w:val="false"/>
                  <w:i w:val="false"/>
                  <w:caps w:val="false"/>
                  <w:smallCaps w:val="false"/>
                  <w:sz w:val="20"/>
                </w:rPr>
                <w:t xml:space="preserve">Amended and Restated Agreement and Plan of Merger, dated as of July 2, 2026, among Air Industries Group, Transitory Air Sub LLC and Tenax Aerospace Acquisition, LLC (attached as Annex A to the proxy statement/prospectus that forms a part of this registration statement). </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r:id="rId9">
              <w:r>
                <w:rPr>
                  <w:rStyle w:val="InternetLink"/>
                  <w:rFonts w:ascii="Times New Roman PS Std;serif" w:hAnsi="Times New Roman PS Std;serif"/>
                  <w:b w:val="false"/>
                  <w:i w:val="false"/>
                  <w:caps w:val="false"/>
                  <w:smallCaps w:val="false"/>
                  <w:sz w:val="20"/>
                </w:rPr>
                <w:t>Articles of Incorporation of Air Industries Group (incorporated by reference to Exhibit 3.1 to Air Industries Group’s Current Report on Form 8-K filed August 30, 2013).</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r:id="rId10">
              <w:r>
                <w:rPr>
                  <w:rStyle w:val="InternetLink"/>
                  <w:rFonts w:ascii="Times New Roman PS Std;serif" w:hAnsi="Times New Roman PS Std;serif"/>
                  <w:b w:val="false"/>
                  <w:i w:val="false"/>
                  <w:caps w:val="false"/>
                  <w:smallCaps w:val="false"/>
                  <w:sz w:val="20"/>
                </w:rPr>
                <w:t>Certificate of Amendment increasing the number of authorized shares of preferred stock and Series A Preferred Stock (incorporated by reference to Exhibit 3.3 to Air Industries Group’s Annual Report on Form 10-K for the year ended December 31, 2016, filed April 19, 2017).</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r:id="rId11">
              <w:r>
                <w:rPr>
                  <w:rStyle w:val="InternetLink"/>
                  <w:rFonts w:ascii="Times New Roman PS Std;serif" w:hAnsi="Times New Roman PS Std;serif"/>
                  <w:b w:val="false"/>
                  <w:i w:val="false"/>
                  <w:caps w:val="false"/>
                  <w:smallCaps w:val="false"/>
                  <w:sz w:val="20"/>
                </w:rPr>
                <w:t>Certificate of Amendment increasing the number of authorized shares of common stock to 60,000,000 (incorporated by reference to Air Industries Group’s Quarterly Report on Form 10-Q for the period ended June 30, 2019, filed August 8, 2019).</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r:id="rId12">
              <w:r>
                <w:rPr>
                  <w:rStyle w:val="InternetLink"/>
                  <w:rFonts w:ascii="Times New Roman PS Std;serif" w:hAnsi="Times New Roman PS Std;serif"/>
                  <w:b w:val="false"/>
                  <w:i w:val="false"/>
                  <w:caps w:val="false"/>
                  <w:smallCaps w:val="false"/>
                  <w:sz w:val="20"/>
                </w:rPr>
                <w:t>Certificate of Change filed with the Secretary of State of Nevada to effect a reverse stock split (incorporated by reference to Exhibit 3.01 to Air Industries Group’s Current Report on Form 8-K, filed October 18, 2022).</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r:id="rId13">
              <w:r>
                <w:rPr>
                  <w:rStyle w:val="InternetLink"/>
                  <w:rFonts w:ascii="Times New Roman PS Std;serif" w:hAnsi="Times New Roman PS Std;serif"/>
                  <w:b w:val="false"/>
                  <w:i w:val="false"/>
                  <w:caps w:val="false"/>
                  <w:smallCaps w:val="false"/>
                  <w:sz w:val="20"/>
                </w:rPr>
                <w:t>Certificate of Amendment increasing the number of authorized shares of common stock to 20,000,000 (incorporated by reference to Air Industries Group’s Current Report on Form 8-K, filed July 10, 2025).</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r:id="rId14">
              <w:r>
                <w:rPr>
                  <w:rStyle w:val="InternetLink"/>
                  <w:rFonts w:ascii="Times New Roman PS Std;serif" w:hAnsi="Times New Roman PS Std;serif"/>
                  <w:b w:val="false"/>
                  <w:i w:val="false"/>
                  <w:caps w:val="false"/>
                  <w:smallCaps w:val="false"/>
                  <w:sz w:val="20"/>
                </w:rPr>
                <w:t>Amended and Restated By-Laws of Air Industries Group (incorporated by reference to Exhibit 3.2 to Air Industries Group’s Current Report on Form 8-K, filed July 10, 2025).</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T5204">
              <w:r>
                <w:rPr>
                  <w:rStyle w:val="InternetLink"/>
                  <w:rFonts w:ascii="Times New Roman PS Std;serif" w:hAnsi="Times New Roman PS Std;serif"/>
                  <w:b w:val="false"/>
                  <w:i w:val="false"/>
                  <w:caps w:val="false"/>
                  <w:smallCaps w:val="false"/>
                  <w:sz w:val="20"/>
                </w:rPr>
                <w:t xml:space="preserve">Form of Certificate of Amendment to the Articles of Incorporation of Air Industries Group (included as Exhibit E to the Amended and Restated Agreement and Plan of Merger attached as Annex A). </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3-8.htm">
              <w:r>
                <w:rPr>
                  <w:rStyle w:val="InternetLink"/>
                  <w:rFonts w:ascii="Times New Roman PS Std;serif" w:hAnsi="Times New Roman PS Std;serif"/>
                  <w:b w:val="false"/>
                  <w:i w:val="false"/>
                  <w:caps w:val="false"/>
                  <w:smallCaps w:val="false"/>
                  <w:sz w:val="20"/>
                </w:rPr>
                <w:t>Form of Certificate of Change of Air Industries Group effecting the reverse stock split.</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T2005">
              <w:r>
                <w:rPr>
                  <w:rStyle w:val="InternetLink"/>
                  <w:rFonts w:ascii="Times New Roman PS Std;serif" w:hAnsi="Times New Roman PS Std;serif"/>
                  <w:b w:val="false"/>
                  <w:i w:val="false"/>
                  <w:caps w:val="false"/>
                  <w:smallCaps w:val="false"/>
                  <w:sz w:val="20"/>
                </w:rPr>
                <w:t xml:space="preserve">Form of Redemption Rights Agreement (attached as Annex C to the proxy statement/prospectus that forms a part of this registration statement). </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T2006">
              <w:r>
                <w:rPr>
                  <w:rStyle w:val="InternetLink"/>
                  <w:rFonts w:ascii="Times New Roman PS Std;serif" w:hAnsi="Times New Roman PS Std;serif"/>
                  <w:b w:val="false"/>
                  <w:i w:val="false"/>
                  <w:caps w:val="false"/>
                  <w:smallCaps w:val="false"/>
                  <w:sz w:val="20"/>
                </w:rPr>
                <w:t xml:space="preserve">Form of Registration Rights Agreement (attached as Annex D to the proxy statement/prospectus that forms a part of this registration statement). </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5-1.htm">
              <w:r>
                <w:rPr>
                  <w:rStyle w:val="InternetLink"/>
                  <w:rFonts w:ascii="Times New Roman PS Std;serif" w:hAnsi="Times New Roman PS Std;serif"/>
                  <w:b w:val="false"/>
                  <w:i w:val="false"/>
                  <w:caps w:val="false"/>
                  <w:smallCaps w:val="false"/>
                  <w:sz w:val="20"/>
                </w:rPr>
                <w:t>Opinion of Ellenoff Grossman &amp; Schole LLP as to the validity of the securities being registered.</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8-1.htm">
              <w:r>
                <w:rPr>
                  <w:rStyle w:val="InternetLink"/>
                  <w:rFonts w:ascii="Times New Roman PS Std;serif" w:hAnsi="Times New Roman PS Std;serif"/>
                  <w:b w:val="false"/>
                  <w:i w:val="false"/>
                  <w:caps w:val="false"/>
                  <w:smallCaps w:val="false"/>
                  <w:sz w:val="20"/>
                </w:rPr>
                <w:t>Opinion of Ellenoff Grossman &amp; Schole LLP as to certain U.S. federal income tax matters.</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r:id="rId15">
              <w:r>
                <w:rPr>
                  <w:rStyle w:val="InternetLink"/>
                  <w:rFonts w:ascii="Times New Roman PS Std;serif" w:hAnsi="Times New Roman PS Std;serif"/>
                  <w:b w:val="false"/>
                  <w:i w:val="false"/>
                  <w:caps w:val="false"/>
                  <w:smallCaps w:val="false"/>
                  <w:sz w:val="20"/>
                </w:rPr>
                <w:t>Form of Indemnification Agreement between Air Industries Group and each of its directors and officers (incorporated by reference to Exhibit 10.15 to Air Industries Group’s Annual Report on Form 10-K for the fiscal year ended December 31, 2025, filed March 27, 2026).</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T5200">
              <w:r>
                <w:rPr>
                  <w:rStyle w:val="InternetLink"/>
                  <w:rFonts w:ascii="Times New Roman PS Std;serif" w:hAnsi="Times New Roman PS Std;serif"/>
                  <w:b w:val="false"/>
                  <w:i w:val="false"/>
                  <w:caps w:val="false"/>
                  <w:smallCaps w:val="false"/>
                  <w:sz w:val="20"/>
                </w:rPr>
                <w:t xml:space="preserve">Form of AIR Stockholder Support Agreement (included as Exhibit A to the Amended and Restated Agreement and Plan of Merger attached as Annex A). </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T5201">
              <w:r>
                <w:rPr>
                  <w:rStyle w:val="InternetLink"/>
                  <w:rFonts w:ascii="Times New Roman PS Std;serif" w:hAnsi="Times New Roman PS Std;serif"/>
                  <w:b w:val="false"/>
                  <w:i w:val="false"/>
                  <w:caps w:val="false"/>
                  <w:smallCaps w:val="false"/>
                  <w:sz w:val="20"/>
                </w:rPr>
                <w:t xml:space="preserve">Form of Tenax Member Support Agreement (included as Exhibit B to the Amended and Restated Agreement and Plan of Merger attached as Annex A). </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T5202">
              <w:r>
                <w:rPr>
                  <w:rStyle w:val="InternetLink"/>
                  <w:rFonts w:ascii="Times New Roman PS Std;serif" w:hAnsi="Times New Roman PS Std;serif"/>
                  <w:b w:val="false"/>
                  <w:i w:val="false"/>
                  <w:caps w:val="false"/>
                  <w:smallCaps w:val="false"/>
                  <w:sz w:val="20"/>
                </w:rPr>
                <w:t xml:space="preserve">Form of Tenax Member Lock-Up Agreement (included as Exhibit C to the Amended and Restated Agreement and Plan of Merger attached as Annex A). </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15-1.htm">
              <w:r>
                <w:rPr>
                  <w:rStyle w:val="InternetLink"/>
                  <w:rFonts w:ascii="Times New Roman PS Std;serif" w:hAnsi="Times New Roman PS Std;serif"/>
                  <w:b w:val="false"/>
                  <w:i w:val="false"/>
                  <w:caps w:val="false"/>
                  <w:smallCaps w:val="false"/>
                  <w:sz w:val="20"/>
                </w:rPr>
                <w:t>Awareness Letter of KPMG LLP for Tenax Aerospace Acquisition, LLC for the quarters ended March 31, 2026 and 2025.</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r:id="rId16">
              <w:r>
                <w:rPr>
                  <w:rStyle w:val="InternetLink"/>
                  <w:rFonts w:ascii="Times New Roman PS Std;serif" w:hAnsi="Times New Roman PS Std;serif"/>
                  <w:b w:val="false"/>
                  <w:i w:val="false"/>
                  <w:caps w:val="false"/>
                  <w:smallCaps w:val="false"/>
                  <w:sz w:val="20"/>
                </w:rPr>
                <w:t>Subsidiaries of Air Industries Group (incorporated by reference to Exhibit 21.1 to Air Industries Group’s Annual Report on Form 10-K for the fiscal year ended December 31, 2018, filed April 1, 2019).</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5-1.htm">
              <w:r>
                <w:rPr>
                  <w:rStyle w:val="InternetLink"/>
                  <w:rFonts w:ascii="Times New Roman PS Std;serif" w:hAnsi="Times New Roman PS Std;serif"/>
                  <w:b w:val="false"/>
                  <w:i w:val="false"/>
                  <w:caps w:val="false"/>
                  <w:smallCaps w:val="false"/>
                  <w:sz w:val="20"/>
                </w:rPr>
                <w:t>Consent of Ellenoff Grossman &amp; Schole LLP (included as part of the opinion filed as Exhibit 5.1 to this registration statement).</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23-2.htm">
              <w:r>
                <w:rPr>
                  <w:rStyle w:val="InternetLink"/>
                  <w:rFonts w:ascii="Times New Roman PS Std;serif" w:hAnsi="Times New Roman PS Std;serif"/>
                  <w:b w:val="false"/>
                  <w:i w:val="false"/>
                  <w:caps w:val="false"/>
                  <w:smallCaps w:val="false"/>
                  <w:sz w:val="20"/>
                </w:rPr>
                <w:t>Consent of CBIZ CPAs P.C., independent registered public accounting firm.</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23-3.htm">
              <w:r>
                <w:rPr>
                  <w:rStyle w:val="InternetLink"/>
                  <w:rFonts w:ascii="Times New Roman PS Std;serif" w:hAnsi="Times New Roman PS Std;serif"/>
                  <w:b w:val="false"/>
                  <w:i w:val="false"/>
                  <w:caps w:val="false"/>
                  <w:smallCaps w:val="false"/>
                  <w:sz w:val="20"/>
                </w:rPr>
                <w:t>Consent of Marcum LLP, independent registered public accounting firm.</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23-4.htm">
              <w:r>
                <w:rPr>
                  <w:rStyle w:val="InternetLink"/>
                  <w:rFonts w:ascii="Times New Roman PS Std;serif" w:hAnsi="Times New Roman PS Std;serif"/>
                  <w:b w:val="false"/>
                  <w:i w:val="false"/>
                  <w:caps w:val="false"/>
                  <w:smallCaps w:val="false"/>
                  <w:sz w:val="20"/>
                </w:rPr>
                <w:t>Consent of KPMG LLP, independent auditors.</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23-5.htm">
              <w:r>
                <w:rPr>
                  <w:rStyle w:val="InternetLink"/>
                  <w:rFonts w:ascii="Times New Roman PS Std;serif" w:hAnsi="Times New Roman PS Std;serif"/>
                  <w:b w:val="false"/>
                  <w:i w:val="false"/>
                  <w:caps w:val="false"/>
                  <w:smallCaps w:val="false"/>
                  <w:sz w:val="20"/>
                </w:rPr>
                <w:t>Consent of KippsDeSanto &amp; Co.</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8-1.htm">
              <w:r>
                <w:rPr>
                  <w:rStyle w:val="InternetLink"/>
                  <w:rFonts w:ascii="Times New Roman PS Std;serif" w:hAnsi="Times New Roman PS Std;serif"/>
                  <w:b w:val="false"/>
                  <w:i w:val="false"/>
                  <w:caps w:val="false"/>
                  <w:smallCaps w:val="false"/>
                  <w:sz w:val="20"/>
                </w:rPr>
                <w:t>Consent of Ellenoff Grossman &amp; Schole LLP (included as part of the opinion filed as Exhibit 8.1 to this registration statement).</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T1000">
              <w:r>
                <w:rPr>
                  <w:rStyle w:val="InternetLink"/>
                  <w:rFonts w:ascii="Times New Roman PS Std;serif" w:hAnsi="Times New Roman PS Std;serif"/>
                  <w:b w:val="false"/>
                  <w:i w:val="false"/>
                  <w:caps w:val="false"/>
                  <w:smallCaps w:val="false"/>
                  <w:sz w:val="20"/>
                </w:rPr>
                <w:t xml:space="preserve">Power of Attorney (included on signature page to this Registration Statement). </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99-1.htm">
              <w:r>
                <w:rPr>
                  <w:rStyle w:val="InternetLink"/>
                  <w:rFonts w:ascii="Times New Roman PS Std;serif" w:hAnsi="Times New Roman PS Std;serif"/>
                  <w:b w:val="false"/>
                  <w:i w:val="false"/>
                  <w:caps w:val="false"/>
                  <w:smallCaps w:val="false"/>
                  <w:sz w:val="20"/>
                </w:rPr>
                <w:t>Form of Proxy Card.</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T1898">
              <w:r>
                <w:rPr>
                  <w:rStyle w:val="InternetLink"/>
                  <w:rFonts w:ascii="Times New Roman PS Std;serif" w:hAnsi="Times New Roman PS Std;serif"/>
                  <w:b w:val="false"/>
                  <w:i w:val="false"/>
                  <w:caps w:val="false"/>
                  <w:smallCaps w:val="false"/>
                  <w:sz w:val="20"/>
                </w:rPr>
                <w:t xml:space="preserve">Opinion of KippsDeSanto &amp; Co. (attached as Annex B to the proxy statement/prospectus that forms a part of this registration statement). </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99-3.htm">
              <w:r>
                <w:rPr>
                  <w:rStyle w:val="InternetLink"/>
                  <w:rFonts w:ascii="Times New Roman PS Std;serif" w:hAnsi="Times New Roman PS Std;serif"/>
                  <w:b w:val="false"/>
                  <w:i w:val="false"/>
                  <w:caps w:val="false"/>
                  <w:smallCaps w:val="false"/>
                  <w:sz w:val="20"/>
                </w:rPr>
                <w:t>Consent of Thomas Foley to be named as a director of Air Industries Group upon completion of the merger.</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99-4.htm">
              <w:r>
                <w:rPr>
                  <w:rStyle w:val="InternetLink"/>
                  <w:rFonts w:ascii="Times New Roman PS Std;serif" w:hAnsi="Times New Roman PS Std;serif"/>
                  <w:b w:val="false"/>
                  <w:i w:val="false"/>
                  <w:caps w:val="false"/>
                  <w:smallCaps w:val="false"/>
                  <w:sz w:val="20"/>
                </w:rPr>
                <w:t>Consent of Taran Bakker to be named as a director of Air Industries Group upon completion of the merger.</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99-5.htm">
              <w:r>
                <w:rPr>
                  <w:rStyle w:val="InternetLink"/>
                  <w:rFonts w:ascii="Times New Roman PS Std;serif" w:hAnsi="Times New Roman PS Std;serif"/>
                  <w:b w:val="false"/>
                  <w:i w:val="false"/>
                  <w:caps w:val="false"/>
                  <w:smallCaps w:val="false"/>
                  <w:sz w:val="20"/>
                </w:rPr>
                <w:t>Consent of Michael Ewald to be named as a director of Air Industries Group upon completion of the merger.</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99-6.htm">
              <w:r>
                <w:rPr>
                  <w:rStyle w:val="InternetLink"/>
                  <w:rFonts w:ascii="Times New Roman PS Std;serif" w:hAnsi="Times New Roman PS Std;serif"/>
                  <w:b w:val="false"/>
                  <w:i w:val="false"/>
                  <w:caps w:val="false"/>
                  <w:smallCaps w:val="false"/>
                  <w:sz w:val="20"/>
                </w:rPr>
                <w:t>Consent of Donald Fawcett to be named as a director of Air Industries Group upon completion of the merger.</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99-7.htm">
              <w:r>
                <w:rPr>
                  <w:rStyle w:val="InternetLink"/>
                  <w:rFonts w:ascii="Times New Roman PS Std;serif" w:hAnsi="Times New Roman PS Std;serif"/>
                  <w:b w:val="false"/>
                  <w:i w:val="false"/>
                  <w:caps w:val="false"/>
                  <w:smallCaps w:val="false"/>
                  <w:sz w:val="20"/>
                </w:rPr>
                <w:t>Consent of Bryan Fenton to be named as a director of Air Industries Group upon completion of the merger.</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99-8.htm">
              <w:r>
                <w:rPr>
                  <w:rStyle w:val="InternetLink"/>
                  <w:rFonts w:ascii="Times New Roman PS Std;serif" w:hAnsi="Times New Roman PS Std;serif"/>
                  <w:b w:val="false"/>
                  <w:i w:val="false"/>
                  <w:caps w:val="false"/>
                  <w:smallCaps w:val="false"/>
                  <w:sz w:val="20"/>
                </w:rPr>
                <w:t>Consent of DeWolfe Miller to be named as a director of Air Industries Group upon completion of the merger.</w:t>
              </w:r>
            </w:hyperlink>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pPr>
            <w:hyperlink w:anchor="ea029819201ex99-9.htm">
              <w:r>
                <w:rPr>
                  <w:rStyle w:val="InternetLink"/>
                  <w:rFonts w:ascii="Times New Roman PS Std;serif" w:hAnsi="Times New Roman PS Std;serif"/>
                  <w:b w:val="false"/>
                  <w:i w:val="false"/>
                  <w:caps w:val="false"/>
                  <w:smallCaps w:val="false"/>
                  <w:sz w:val="20"/>
                </w:rPr>
                <w:t>Consent of John Young to be named as a director of Air Industries Group upon completion of the merger.</w:t>
              </w:r>
            </w:hyperlink>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 to be named as a director of Air Industries Group upon completion of the merger.</w:t>
            </w:r>
          </w:p>
        </w:tc>
      </w:tr>
      <w:tr>
        <w:trPr/>
        <w:tc>
          <w:tcPr>
            <w:tcW w:w="13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 to be named as a director of Air Industries Group upon completion of the merger.</w:t>
            </w:r>
          </w:p>
        </w:tc>
      </w:tr>
      <w:tr>
        <w:trPr/>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left"/>
              <w:rPr/>
            </w:pPr>
            <w:hyperlink w:anchor="ea029819201ex-fee.htm">
              <w:r>
                <w:rPr>
                  <w:rStyle w:val="InternetLink"/>
                  <w:rFonts w:ascii="Times New Roman PS Std;serif" w:hAnsi="Times New Roman PS Std;serif"/>
                  <w:b w:val="false"/>
                  <w:i w:val="false"/>
                  <w:caps w:val="false"/>
                  <w:smallCaps w:val="false"/>
                  <w:sz w:val="20"/>
                </w:rPr>
                <w:t>Calculation of 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 as amended;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purposes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every prospectus (a) that is filed pursuant to the paragraph immediately preceding,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supply by means of a post-effective amendment all information concerning a transaction, and the company being acquired involved therein, that was not the subject of and included in the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4" w:name="T1000"/>
      <w:bookmarkEnd w:id="124"/>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Air Industries Group certifies that it has reasonable grounds to believe that it meets all of the requirements for filing on Form S-4 and has duly caused this Registration Statement to be signed on its behalf by the undersigned, thereunto duly authorized, in the city of Bay Shore, state of New York, on this 22nd day of July, 2026.</w:t>
      </w:r>
    </w:p>
    <w:tbl>
      <w:tblPr>
        <w:tblW w:w="489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12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585"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018" w:type="dxa"/>
            <w:gridSpan w:val="3"/>
            <w:tcBorders/>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714375" cy="374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714375" cy="374650"/>
                          </a:xfrm>
                          <a:prstGeom prst="rect">
                            <a:avLst/>
                          </a:prstGeom>
                        </pic:spPr>
                      </pic:pic>
                    </a:graphicData>
                  </a:graphic>
                </wp:inline>
              </w:drawing>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1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w:t>
            </w:r>
          </w:p>
        </w:tc>
        <w:tc>
          <w:tcPr>
            <w:tcW w:w="146" w:type="dxa"/>
            <w:tcBorders/>
          </w:tcPr>
          <w:p>
            <w:pPr>
              <w:pStyle w:val="TableContents"/>
              <w:bidi w:val="0"/>
              <w:spacing w:before="0" w:after="283"/>
              <w:jc w:val="left"/>
              <w:rPr/>
            </w:pPr>
            <w:r>
              <w:rPr/>
              <w:t> </w:t>
            </w:r>
          </w:p>
        </w:tc>
        <w:tc>
          <w:tcPr>
            <w:tcW w:w="31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Acting Chief Executive Officer </w:t>
              <w:br/>
              <w:t>and President</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 AND 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 undersigned officers and directors of Air Industries Group, hereby severally constitute and appoint Scott Glassman and Peter Rettaliata, and each of them singly, our true and lawful attorneys-in-fact with full power to any of them, and to each of them singly, to sign for us in our names in the capacities indicated below the Registration Statement on Form S-4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such things in our name and on our behalf in our capacities as officers and directors to enable Air Industries Group to comply with the provisions of the Securities Act of 1933, as amended, and all requirements of the Securities and Exchange Commission, and each of them, or their substitute or substitutes, shall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tbl>
      <w:tblPr>
        <w:tblW w:w="8560" w:type="dxa"/>
        <w:jc w:val="left"/>
        <w:tblInd w:w="0" w:type="dxa"/>
        <w:tblLayout w:type="fixed"/>
        <w:tblCellMar>
          <w:top w:w="0" w:type="dxa"/>
          <w:left w:w="0" w:type="dxa"/>
          <w:bottom w:w="0" w:type="dxa"/>
          <w:right w:w="0" w:type="dxa"/>
        </w:tblCellMar>
      </w:tblPr>
      <w:tblGrid>
        <w:gridCol w:w="2446"/>
        <w:gridCol w:w="146"/>
        <w:gridCol w:w="4411"/>
        <w:gridCol w:w="146"/>
        <w:gridCol w:w="1411"/>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446" w:type="dxa"/>
            <w:tcBorders/>
            <w:vAlign w:val="bottom"/>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714375" cy="374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714375" cy="374650"/>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Acting Chief Executive Officer and President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1152525" cy="2133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1152525" cy="213360"/>
                          </a:xfrm>
                          <a:prstGeom prst="rect">
                            <a:avLst/>
                          </a:prstGeom>
                        </pic:spPr>
                      </pic:pic>
                    </a:graphicData>
                  </a:graphic>
                </wp:inline>
              </w:drawing>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Vice President of Finance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Peter D. Rettaliata </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N. Taglich</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Robert F. Taglich </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David J. Buonanno </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J. Buonanno</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Michael Brand </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4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Michael D. Porcelain </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r>
      <w:tr>
        <w:trPr/>
        <w:tc>
          <w:tcPr>
            <w:tcW w:w="24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 Porcelain</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jc w:val="right"/>
        <w:rPr>
          <w:rFonts w:ascii="Times New Roman;Times;Serif" w:hAnsi="Times New Roman;Times;Serif"/>
          <w:b/>
          <w:i w:val="false"/>
          <w:caps w:val="false"/>
          <w:smallCaps w:val="false"/>
          <w:sz w:val="20"/>
        </w:rPr>
      </w:pPr>
      <w:bookmarkStart w:id="125" w:name="ea029819201ex3-8.htm"/>
      <w:bookmarkStart w:id="126" w:name="ksea029819201ex38"/>
      <w:bookmarkEnd w:id="125"/>
      <w:bookmarkEnd w:id="126"/>
      <w:r>
        <w:rPr>
          <w:rFonts w:ascii="Times New Roman;Times;Serif" w:hAnsi="Times New Roman;Times;Serif"/>
          <w:b/>
          <w:i w:val="false"/>
          <w:caps w:val="false"/>
          <w:smallCaps w:val="false"/>
          <w:sz w:val="20"/>
        </w:rPr>
        <w:t>Exhibit 3.8</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6991350" cy="9048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FRANCISCO V. AGUILAR Secretary of State 401 North Carson Street Carson City, Nevada 89701-4201 (775) 684-5708 Website: www.nvsos.gov Certificate of Change Pursuant to NRS 78.209 TYPE OR PRINT - USE DARK INK ONLY - DO NOT HIGHLIGHT INSTRUCTIONS: 1. Enter the current name as on file with the Nevada Secretary of State and enter the Entity or Nevada Business Identification Number (NVID). 2. Indicate the current number of authorized shares and par value, if any, and each class or series before the change. 3. Indicate the number of authorized shares and par value, if any of each class or series after the change. 4. Indicate the change of the affected class or series of issued, if any, shares after the change in exchange for each issued share of the same class or series. 5. Indicate provisions, if any, regarding fractional shares that are affected by the change. 6. NRS required statement. 7. This section is optional. If an effective date and time is indicated the date must not be more than 90 days after the date on which the certificate is filed. 8. Must be signed by an Officer. Form will be returned if unsigned. 1. Entity Information: Name of entity as on file with the Nevada Secretary of State: Entity or Nevada Business Identification Number (NVID): 2. Current Authorized Shares: The current number of authorized shares and the par value, if any, of each class or series, if any, of shares before the change: 3. Authorized Shares After Change: The number of authorized shares and the par value, if any, of each class or series, if any, of shares after the change: 4. Issuance: The number of shares of each affected class or series, if any, to be issued after the change in exchange for each issued share of the same class or series: 5. Provisions: The provisions, if any, for the issuance of fractional shares, or for the payment of money or the issuance of scrip to stockholders otherwise entitled to a fraction of a share and the percentage of outstanding shares affected thereby: 6. Provisions: The required approval of the stockholders has been obtained. 7. Effective date and time: (Optional) Date: Time: (must not be later than 90 days after the certificate is filed) 8. Signature: (Required) X Signature of Officer Title Date This form must be accompanied by appropriate fees. If necessary, additional pages may be attached to this form. Page 1 of 1 Revised: 8/1/2023 Air Industries Group E0334932013-3 200,000,000 shares of Common Stock, par value $0.001 per share 3,000,000 shares of Preferred Stock, par value $0.001 per share 40,000,000 shares of Common Stock, par value $0.001 per share 3,000,000 shares of Preferred Stock, par value $0.001 per share Please see attached. Any fractional share that would otherwise result from the change will be rounded up to the nearest whole share.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Issuance:</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share of Common Stock will be issued to record holders after the change in exchange for every 5 shares of Common Stock outstanding immediately prior to the change.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olor w:val="FFFFFF"/>
          <w:sz w:val="2"/>
        </w:rPr>
      </w:pPr>
      <w:r>
        <w:rPr>
          <w:color w:val="FFFFFF"/>
          <w:sz w:val="2"/>
        </w:rPr>
        <w:t>Item 4. Issuance: One (1) share of Common Stock will be issued to record holders after the change in exchange for every 5 shares of Common Stock outstanding immediately prior to the change.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7" w:name="ea029819201ex5-1.htm"/>
      <w:bookmarkStart w:id="128" w:name="ksea029819201ex51"/>
      <w:bookmarkEnd w:id="127"/>
      <w:bookmarkEnd w:id="128"/>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3600"/>
        <w:gridCol w:w="3080"/>
      </w:tblGrid>
      <w:tr>
        <w:trPr/>
        <w:tc>
          <w:tcPr>
            <w:tcW w:w="3600" w:type="dxa"/>
            <w:tcBorders/>
            <w:vAlign w:val="center"/>
          </w:tcPr>
          <w:p>
            <w:pPr>
              <w:pStyle w:val="TableContents"/>
              <w:bidi w:val="0"/>
              <w:spacing w:before="0" w:after="283"/>
              <w:jc w:val="left"/>
              <w:rPr/>
            </w:pPr>
            <w:r>
              <w:rPr/>
              <w:drawing>
                <wp:inline distT="0" distB="0" distL="0" distR="0">
                  <wp:extent cx="2276475" cy="904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2276475" cy="904875"/>
                          </a:xfrm>
                          <a:prstGeom prst="rect">
                            <a:avLst/>
                          </a:prstGeom>
                        </pic:spPr>
                      </pic:pic>
                    </a:graphicData>
                  </a:graphic>
                </wp:inline>
              </w:drawing>
            </w:r>
          </w:p>
        </w:tc>
        <w:tc>
          <w:tcPr>
            <w:tcW w:w="30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 Fifth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Shore, NY 11706-4147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Air Industries Group, a Nevada corporation (the “Company”), in connection with the proposed issuance of 25,380,000 shares (after giving effect to the reverse split described below) of common stock, par value $0.001 per share (the “Common Stock”), of the Company to be issued in connection with the merger (the “Merger”) contemplated by the Amended and Restated Agreement and Plan of Merger (the “Merger Agreement”), dated as of July 2, 2026, by and among the Company, Tenax Aerospace Acquisition, LLC, a Delaware limited liability company (“Tenax”) and Transitory Air Sub LLC, a Delaware limited liability company and wholly owned subsidiary of the Company. A portion of the 25,380,000 shares of Common Stock (the “Unit Shares”) are to be issued to the members of Tenax, holding membership units of Tenax as of the consummation of the Merger and the balance of the 25,380,000 shares of Common Stock (the “Warrant Shares,” collectively with the Unit Shares, the “Shares”) are to be issued to the holders of currently outstanding Tenax warrants (the “Warrants”) to purchase membership units of Tenax, upon exercise thereof. The Shares are being registered on a registration statement on Form S-4 (the “Registration Statement”), filed by the Company with the Securities and Exchange Commission (the “Commission”) pursuant to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proxy statement/prospectus (the “Proxy Statement/Prospectus”) and the exhibits filed therewith, (ii) the Company’s articles of incorporation, as amended and as to be amended pursuant to the Air Charter Amendment, as defined in the Merger Agreement (the “Articles of Incorporation”), (iii) the Company’s bylaws (the “Bylaws”) as amended to date, (iv) the Air Certificate of Change as defined in the Merger Agreement to be filed to effect a 1 for five reverse stock split of the Common Stock of the Company, (v) the corporate resolutions and other actions of the Company that authorize and provide for the filing of the Registration Statement and the issuance of the Shares, and (vi) an executed copy of the Merger Agreement, and we have made such other investigation as we have deemed appropriate. We have not independently established any of the facts so relied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limited to (i) the Nevada Revised Statutes (the “NRS”) and the applicable statutory provisions of the Nevada Constitution and the reported judicial decisions interpreting such statutes and provisions and (ii) the laws of the State of New York.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qualifications, limitations and exceptions set forth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51"/>
        <w:gridCol w:w="9452"/>
      </w:tblGrid>
      <w:tr>
        <w:trPr/>
        <w:tc>
          <w:tcPr>
            <w:tcW w:w="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9452" w:type="dxa"/>
            <w:tcBorders/>
            <w:vAlign w:val="center"/>
          </w:tcPr>
          <w:p>
            <w:pPr>
              <w:pStyle w:val="TableContents"/>
              <w:bidi w:val="0"/>
              <w:spacing w:before="0" w:after="283"/>
              <w:jc w:val="both"/>
              <w:rPr/>
            </w:pPr>
            <w:r>
              <w:rPr/>
              <w:t>When certificates representing the Shares have been duly executed, countersigned, registered and delivered, in each case in accordance with the Articles of Incorporation, Bylaws, the Merger Agreement and the Warrants, the Shares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opinions set forth above are subject to the following additional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Registration Statement, any amendments thereto (including post-effective amendments), will have been declared effective under the Securities Act and such effectiveness shall not have been terminated, suspended or rescinded and no stop order of the Commission suspending its effectiveness or the use of the Proxy Statement/Prospectus contained therein will have been issued and remain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effectiveness of the Air Charter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effectiveness of the Certificate of Change;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Shares will be issued in compliance with applicable federal and state securities laws, rules and regulations and solely as provided in the Registration Statement and there will not have occurred any change in law or fact affecting the validity of any of the opinions rendered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use of our name under the caption “Legal Matters” in the Proxy Statement/Prospectus. In giving our consent, we do not thereby admit that we are experts with respect to any part of the Registration Statement or the Proxy Statement/Prospectus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3500"/>
        <w:gridCol w:w="75"/>
      </w:tblGrid>
      <w:tr>
        <w:trPr/>
        <w:tc>
          <w:tcPr>
            <w:tcW w:w="3500" w:type="dxa"/>
            <w:tcBorders/>
            <w:vAlign w:val="center"/>
          </w:tcPr>
          <w:p>
            <w:pPr>
              <w:pStyle w:val="TableContents"/>
              <w:bidi w:val="0"/>
              <w:spacing w:before="0" w:after="283"/>
              <w:jc w:val="left"/>
              <w:rPr/>
            </w:pPr>
            <w:r>
              <w:rPr/>
              <w:t>Yours truly,</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Ellenoff Grossman &amp; Schole LLP</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Ellenoff Grossman &amp; Schole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9" w:name="ea029819201ex8-1.htm"/>
      <w:bookmarkStart w:id="130" w:name="ksea029819201ex81"/>
      <w:bookmarkEnd w:id="129"/>
      <w:bookmarkEnd w:id="130"/>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3600"/>
        <w:gridCol w:w="3080"/>
      </w:tblGrid>
      <w:tr>
        <w:trPr/>
        <w:tc>
          <w:tcPr>
            <w:tcW w:w="3600" w:type="dxa"/>
            <w:tcBorders/>
            <w:vAlign w:val="center"/>
          </w:tcPr>
          <w:p>
            <w:pPr>
              <w:pStyle w:val="TableContents"/>
              <w:bidi w:val="0"/>
              <w:spacing w:before="0" w:after="283"/>
              <w:jc w:val="left"/>
              <w:rPr/>
            </w:pPr>
            <w:r>
              <w:rPr/>
              <w:drawing>
                <wp:inline distT="0" distB="0" distL="0" distR="0">
                  <wp:extent cx="2276475" cy="904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2276475" cy="904875"/>
                          </a:xfrm>
                          <a:prstGeom prst="rect">
                            <a:avLst/>
                          </a:prstGeom>
                        </pic:spPr>
                      </pic:pic>
                    </a:graphicData>
                  </a:graphic>
                </wp:inline>
              </w:drawing>
            </w:r>
          </w:p>
        </w:tc>
        <w:tc>
          <w:tcPr>
            <w:tcW w:w="30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 Fifth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Shore, New York 11706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Air Industries Group, a Nevada corporation, in connection with the transactions described in the Registration Statement on Form S-4 (File No. [333-_______]),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[DATE], as amended through the date hereof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of which this exhibit is a part. All section references, unless otherwise indicated, are to the United States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Capitalized terms not defined herein have the meanings set forth in the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this opinion, we have examined and relied upon the Registration Statement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will be consummated in accordance with the description in the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without investigation or verification that the facts and statements set forth in the Registration Statement are true, correct and complete in all material respects; that any representation in any of the documents referred to therein that is made “to the best of the knowledge and belief”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the opinion expressed herein. We undertake no responsibility to advise of any such developments in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herein only with respect to the federal income tax laws of the United States, and we express no opinion with respect to the applicability thereto, or the effect thereon, of other federal laws or the laws of any state or other jurisdiction, or as to any matters of municipal law or the laws of any other local agencies within any state.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examination of the foregoing items and subject to the limitations, qualifications, assumptions and caveats set forth herein, we confirm that the statements in the Registration Statement under the heading “Material U.S. Federal Income Tax Consequences of the Transactions” and subject to the limitations, qualifications assumptions and caveats described therein, insofar as they relate to matters of United States federal income tax law, constitute our opinion of the material United States federal income tax consequences set forth therein.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as to any matter not discussed 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under the heading “Legal Matters” in the Registration Statement and to the filing of this opinion as an exhibit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truly,</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Ellenoff Grossman &amp; Schole LLP</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Ellenoff Grossman &amp; Schole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131" w:name="ea029819201ex15-1.htm"/>
      <w:bookmarkStart w:id="132" w:name="ksea029819201ex151"/>
      <w:bookmarkEnd w:id="131"/>
      <w:bookmarkEnd w:id="132"/>
      <w:r>
        <w:rPr>
          <w:b/>
        </w:rPr>
        <w:t>Exhibit 15.1</w:t>
      </w:r>
      <w:r>
        <w:br w:type="page"/>
      </w:r>
    </w:p>
    <w:p>
      <w:pPr>
        <w:pStyle w:val="TextBody"/>
        <w:bidi w:val="0"/>
        <w:spacing w:before="0" w:after="283"/>
        <w:jc w:val="left"/>
        <w:rPr/>
      </w:pPr>
      <w:r>
        <w:rPr/>
        <w:t> </w:t>
      </w:r>
    </w:p>
    <w:tbl>
      <w:tblPr>
        <w:tblW w:w="3395" w:type="dxa"/>
        <w:jc w:val="left"/>
        <w:tblInd w:w="0" w:type="dxa"/>
        <w:tblLayout w:type="fixed"/>
        <w:tblCellMar>
          <w:top w:w="0" w:type="dxa"/>
          <w:left w:w="0" w:type="dxa"/>
          <w:bottom w:w="0" w:type="dxa"/>
          <w:right w:w="0" w:type="dxa"/>
        </w:tblCellMar>
      </w:tblPr>
      <w:tblGrid>
        <w:gridCol w:w="1425"/>
        <w:gridCol w:w="1970"/>
      </w:tblGrid>
      <w:tr>
        <w:trPr/>
        <w:tc>
          <w:tcPr>
            <w:tcW w:w="1425" w:type="dxa"/>
            <w:tcBorders/>
            <w:vAlign w:val="center"/>
          </w:tcPr>
          <w:p>
            <w:pPr>
              <w:pStyle w:val="TableContents"/>
              <w:bidi w:val="0"/>
              <w:spacing w:before="0" w:after="283"/>
              <w:jc w:val="left"/>
              <w:rPr/>
            </w:pPr>
            <w:r>
              <w:rPr/>
              <w:drawing>
                <wp:inline distT="0" distB="0" distL="0" distR="0">
                  <wp:extent cx="895350" cy="352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895350" cy="352425"/>
                          </a:xfrm>
                          <a:prstGeom prst="rect">
                            <a:avLst/>
                          </a:prstGeom>
                        </pic:spPr>
                      </pic:pic>
                    </a:graphicData>
                  </a:graphic>
                </wp:inline>
              </w:drawing>
            </w:r>
          </w:p>
        </w:tc>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1700</w:t>
              <w:br/>
              <w:t>100 North Tampa Street</w:t>
              <w:br/>
              <w:t>Tampa, FL 33602-5145</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Aerospace Acquisition, LLC</w:t>
        <w:br/>
        <w:t>Ridgeland, Mississippi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No. 333-XXXXX of Air Industries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subject registration statement, we acknowledge our awareness of the use therein of our report dated June 24, 2026 related to our review of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bidi w:val="0"/>
        <w:spacing w:before="0" w:after="283"/>
        <w:jc w:val="left"/>
        <w:rPr/>
      </w:pPr>
      <w:r>
        <w:rPr/>
        <w:t> </w:t>
      </w:r>
    </w:p>
    <w:p>
      <w:pPr>
        <w:pStyle w:val="TextBody"/>
        <w:bidi w:val="0"/>
        <w:spacing w:before="0" w:after="283"/>
        <w:jc w:val="left"/>
        <w:rPr/>
      </w:pPr>
      <w:r>
        <w:rPr/>
        <w:t>/s/ KPMG LLP</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57300" cy="266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1257300" cy="2667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3" w:name="ea029819201ex23-2.htm"/>
      <w:bookmarkStart w:id="134" w:name="ksea029819201ex232"/>
      <w:bookmarkEnd w:id="133"/>
      <w:bookmarkEnd w:id="134"/>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S-4 of our report dated March 27, 2026, with respect to the financial statements of Air Industries Group included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5" w:name="ea029819201ex23-3.htm"/>
      <w:bookmarkStart w:id="136" w:name="ksea029819201ex233"/>
      <w:bookmarkEnd w:id="135"/>
      <w:bookmarkEnd w:id="136"/>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S-4 of our report dated April 15, 2025, with respect to the financial statements of Air Industries Group included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jc w:val="right"/>
        <w:rPr>
          <w:b/>
        </w:rPr>
      </w:pPr>
      <w:bookmarkStart w:id="137" w:name="ea029819201ex23-4.htm"/>
      <w:bookmarkStart w:id="138" w:name="ksea029819201ex234"/>
      <w:bookmarkEnd w:id="137"/>
      <w:bookmarkEnd w:id="138"/>
      <w:r>
        <w:rPr>
          <w:b/>
        </w:rPr>
        <w:t>Exhibit 23.4</w:t>
      </w:r>
      <w:r>
        <w:br w:type="page"/>
      </w:r>
    </w:p>
    <w:p>
      <w:pPr>
        <w:pStyle w:val="TextBody"/>
        <w:bidi w:val="0"/>
        <w:jc w:val="left"/>
        <w:rPr/>
      </w:pPr>
      <w:r>
        <w:rPr/>
        <w:t> </w:t>
      </w:r>
    </w:p>
    <w:tbl>
      <w:tblPr>
        <w:tblW w:w="3395" w:type="dxa"/>
        <w:jc w:val="left"/>
        <w:tblInd w:w="0" w:type="dxa"/>
        <w:tblLayout w:type="fixed"/>
        <w:tblCellMar>
          <w:top w:w="0" w:type="dxa"/>
          <w:left w:w="0" w:type="dxa"/>
          <w:bottom w:w="0" w:type="dxa"/>
          <w:right w:w="0" w:type="dxa"/>
        </w:tblCellMar>
      </w:tblPr>
      <w:tblGrid>
        <w:gridCol w:w="1425"/>
        <w:gridCol w:w="1970"/>
      </w:tblGrid>
      <w:tr>
        <w:trPr/>
        <w:tc>
          <w:tcPr>
            <w:tcW w:w="1425" w:type="dxa"/>
            <w:tcBorders/>
            <w:vAlign w:val="center"/>
          </w:tcPr>
          <w:p>
            <w:pPr>
              <w:pStyle w:val="TableContents"/>
              <w:bidi w:val="0"/>
              <w:spacing w:before="0" w:after="283"/>
              <w:jc w:val="left"/>
              <w:rPr/>
            </w:pPr>
            <w:r>
              <w:rPr/>
              <w:drawing>
                <wp:inline distT="0" distB="0" distL="0" distR="0">
                  <wp:extent cx="895350" cy="361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895350" cy="361950"/>
                          </a:xfrm>
                          <a:prstGeom prst="rect">
                            <a:avLst/>
                          </a:prstGeom>
                        </pic:spPr>
                      </pic:pic>
                    </a:graphicData>
                  </a:graphic>
                </wp:inline>
              </w:drawing>
            </w:r>
          </w:p>
        </w:tc>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1700</w:t>
              <w:br/>
              <w:t>100 North Tampa Street</w:t>
              <w:br/>
              <w:t>Tampa, FL 33602-5145</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the registration statement (No. 333-XXXXX) on Form S-4 of Air Industries Group of our audit report dated April 15, 2026, with respect to the consolidated financial statements of Tenax Aerospace Acquisition, LLC, and to the reference to our firm under the heading “Experts” in the registration statement.</w:t>
      </w:r>
    </w:p>
    <w:p>
      <w:pPr>
        <w:pStyle w:val="TextBody"/>
        <w:bidi w:val="0"/>
        <w:spacing w:before="0" w:after="283"/>
        <w:jc w:val="left"/>
        <w:rPr/>
      </w:pPr>
      <w:r>
        <w:rPr/>
        <w:t> </w:t>
      </w:r>
    </w:p>
    <w:p>
      <w:pPr>
        <w:pStyle w:val="TextBody"/>
        <w:bidi w:val="0"/>
        <w:spacing w:before="0" w:after="283"/>
        <w:jc w:val="left"/>
        <w:rPr/>
      </w:pPr>
      <w:r>
        <w:rPr/>
        <w:t>/s/ KPMG LLP</w:t>
      </w:r>
    </w:p>
    <w:p>
      <w:pPr>
        <w:pStyle w:val="TextBody"/>
        <w:bidi w:val="0"/>
        <w:spacing w:before="0" w:after="283"/>
        <w:jc w:val="left"/>
        <w:rPr/>
      </w:pPr>
      <w:r>
        <w:rPr/>
        <w:t> </w:t>
      </w:r>
    </w:p>
    <w:p>
      <w:pPr>
        <w:pStyle w:val="TextBody"/>
        <w:bidi w:val="0"/>
        <w:jc w:val="left"/>
        <w:rPr/>
      </w:pPr>
      <w:r>
        <w:rPr/>
        <w:drawing>
          <wp:inline distT="0" distB="0" distL="0" distR="0">
            <wp:extent cx="1257300" cy="266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1257300" cy="2667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br/>
        <w:t>July 22,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875" w:type="dxa"/>
        <w:jc w:val="left"/>
        <w:tblInd w:w="0" w:type="dxa"/>
        <w:tblLayout w:type="fixed"/>
        <w:tblCellMar>
          <w:top w:w="0" w:type="dxa"/>
          <w:left w:w="0" w:type="dxa"/>
          <w:bottom w:w="0" w:type="dxa"/>
          <w:right w:w="0" w:type="dxa"/>
        </w:tblCellMar>
      </w:tblPr>
      <w:tblGrid>
        <w:gridCol w:w="75"/>
        <w:gridCol w:w="6725"/>
        <w:gridCol w:w="75"/>
      </w:tblGrid>
      <w:tr>
        <w:trPr/>
        <w:tc>
          <w:tcPr>
            <w:tcW w:w="75"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 a Delaware limited liability partnership, and its subsidiaries are part of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KPMG global organization of independent member firms affiliated with KPMG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9" w:name="ea029819201ex23-5.htm"/>
      <w:bookmarkStart w:id="140" w:name="ksea029819201ex235"/>
      <w:bookmarkEnd w:id="139"/>
      <w:bookmarkEnd w:id="140"/>
      <w:r>
        <w:rPr>
          <w:rFonts w:ascii="Times New Roman;Times;Serif" w:hAnsi="Times New Roman;Times;Serif"/>
          <w:b/>
          <w:i w:val="false"/>
          <w:caps w:val="false"/>
          <w:smallCaps w:val="false"/>
          <w:sz w:val="20"/>
        </w:rPr>
        <w:t>Exhibit 23.5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KIPPSDESANTO &amp; 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(i) the use of our opinion letter dated February 17, 2026 to the Air Industries Group (“AIR”) board of directors included in Annex B to the proxy statement/prospectus, which forms a part of the registration statement on Form S-4 (the “Registration Statement”) relating to the proposed merger of AIR and Tenax Aerospace Acquisition, LLC, and (ii) the references to such opinion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pStyle w:val="TextBody"/>
        <w:bidi w:val="0"/>
        <w:spacing w:before="0" w:after="0"/>
        <w:ind w:left="5760" w:right="0" w:firstLine="72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18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Very truly yours,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18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18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KIPPSDESANTO &amp; CO</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KIPPSDESANTO &amp; CO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141" w:name="ea029819201ex99-1.htm"/>
      <w:bookmarkStart w:id="142" w:name="ksea029819201ex991"/>
      <w:bookmarkEnd w:id="141"/>
      <w:bookmarkEnd w:id="142"/>
      <w:r>
        <w:rPr>
          <w:rFonts w:ascii="Times New Roman;Times;Serif" w:hAnsi="Times New Roman;Times;Serif"/>
          <w:b/>
          <w:sz w:val="20"/>
        </w:rPr>
        <w:t>Exhibit 99.1</w:t>
      </w:r>
      <w:r>
        <w:br w:type="page"/>
      </w:r>
    </w:p>
    <w:p>
      <w:pPr>
        <w:pStyle w:val="TextBody"/>
        <w:bidi w:val="0"/>
        <w:jc w:val="center"/>
        <w:rPr/>
      </w:pPr>
      <w:r>
        <w:rPr/>
        <w:t> </w:t>
      </w:r>
    </w:p>
    <w:p>
      <w:pPr>
        <w:pStyle w:val="TextBody"/>
        <w:bidi w:val="0"/>
        <w:jc w:val="center"/>
        <w:rPr/>
      </w:pPr>
      <w:r>
        <w:rPr/>
        <w:drawing>
          <wp:inline distT="0" distB="0" distL="0" distR="0">
            <wp:extent cx="6991350" cy="9048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6991350" cy="9048750"/>
                    </a:xfrm>
                    <a:prstGeom prst="rect">
                      <a:avLst/>
                    </a:prstGeom>
                  </pic:spPr>
                </pic:pic>
              </a:graphicData>
            </a:graphic>
          </wp:inline>
        </w:drawing>
      </w:r>
      <w:r>
        <w:rPr/>
        <w:t> </w:t>
      </w:r>
    </w:p>
    <w:p>
      <w:pPr>
        <w:pStyle w:val="TextBody"/>
        <w:bidi w:val="0"/>
        <w:jc w:val="center"/>
        <w:rPr/>
      </w:pPr>
      <w:r>
        <w:rPr/>
        <w:t> </w:t>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V86073-S41426 For Against Abstain ! ! ! 1. To approve a proposal to authorize the issuance of AIR common stock as merger consideration pursuant to the terms of the merger agreement, in compliance with Section 713(b) of the NYSE American Company Guide, resulting in a change of control of AIR, as described in the proxy statement. 2. To approve a proposal to amend the articles of incorporation of AIR to increase the number of authorized shares of AIR common stock from 20,000,000 to 200,000,000, as described in the proxy statement. 3. To approve a proposal to amend the articles of incorporation of AIR to authorize stockholder action by written consent in lieu of a stockholder meeting at any time while the NTC Group, Inc., Thomas Foley and Taran Bakker and their respective affiliates collectively beneficially own at least a majority of the voting power of the outstanding shares of AIR common stock, as described in the proxy statement. 4. To approve an advisory resolution regarding the compensation that may be paid or become payable to AIR's Named Executive Officers in connection with the merger, as described in the proxy statement. 5. To approve a proposal to adjourn the special meeting, if necessary or appropriate, including to solicit additional proxies, in the event that there are not sufficient votes at the time of the special meeting to approve items 1, 2 or 3 above, as described in the proxy statement. NOTE: The shares represented by this proxy, when properly executed, will be voted in the manner directed herein by the undersigned stockholder(s) and, in the discretion of the proxies, upon such other business as may properly come before the meeting. If no direction is made, this proxy will be voted FOR Item 1, FOR Item 2, FOR Item 3, FOR Item 4 and FOR Item 5. AIR INDUSTRIES GROUP The Board of Directors recommends you vote FOR proposals 1, 2, 3, 4 and 5.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VOTE BY INTERNET - www.proxyvote.com or scan the QR Barcode above Use the Internet to transmit your voting instructions and for electronic delivery of information up until 11:59 p.m. Eastern Time on [TBD], 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Eastern Time on [TBD], 2026. Have your proxy card in hand when you call and then follow the instructions. VOTE BY MAIL Mark, sign and date your proxy card and return it in the postage-paid envelope we have provided or return it to Vote Processing, c/o Broadridge, 51 Mercedes Way, Edgewood, NY 11717. AIR INDUSTRIES GROUP C/O BROADRIDGE P.O. BOX 1342 BRENTWOOD, NY 11717 ! ! ! ! ! ! ! ! ! ! ! ! SCAN TO VIEW MATERIALS &amp; VOTEw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V86074-S41426 AIR INDUSTRIES GROUP Special Meeting of Stockholders [TBD], 2026 This Proxy is Solicited on Behalf of the Board of Directors The stockholder(s) hereby appoint(s) Peter Rettaliata and Scott Glassman, and either of them, as proxies, each with the power of substitution, and hereby authorize(s) them to represent and to vote, as designated on the reverse side of this ballot, all of the shares of Common Stock of Air Industries Group (the "Company") that the stockholder(s) is/are entitled to vote at the Special Meeting of Stockholders to be held at [TBD], [A.M./P.M.], Eastern Time, on [TBD], 2026, at the offices of Air Industries Group at 1460 Fifth Avenue, Bay Shore, New York 11706, and at any adjournment or postponement thereof. THIS PROXY, WHEN PROPERLY EXECUTED, WILL BE VOTED AS DIRECTED BY THE STOCKHOLDER(S). IF NO SUCH DIRECTIONS ARE MADE, THIS PROXY WILL BE VOTED FOR PROPOSALS 1, 2, 3, 4 AND 5. PLEASE MARK, SIGN, DATE AND RETURN THIS PROXY CARD PROMPTLY USING THE ENCLOSED REPLY ENVELOPE. Continued and to be signed on reverse side Important Notice Regarding the Availability of Proxy Materials for the Special Meeting: The Notice and Proxy Statement and Annual Report are available at www.proxyvote.com.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43" w:name="ea029819201ex99-3.htm"/>
      <w:bookmarkStart w:id="144" w:name="ksea029819201ex993"/>
      <w:bookmarkEnd w:id="143"/>
      <w:bookmarkEnd w:id="144"/>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710"/>
        <w:gridCol w:w="1790"/>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790" w:type="dxa"/>
            <w:tcBorders>
              <w:bottom w:val="single" w:sz="12" w:space="0" w:color="000000"/>
            </w:tcBorders>
            <w:tcMar>
              <w:bottom w:w="28" w:type="dxa"/>
            </w:tcMar>
            <w:vAlign w:val="center"/>
          </w:tcPr>
          <w:p>
            <w:pPr>
              <w:pStyle w:val="TableContents"/>
              <w:bidi w:val="0"/>
              <w:spacing w:before="0" w:after="283"/>
              <w:jc w:val="left"/>
              <w:rPr/>
            </w:pPr>
            <w:r>
              <w:rPr/>
              <w:t>/s/ Thomas Foley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790" w:type="dxa"/>
            <w:tcBorders/>
            <w:vAlign w:val="center"/>
          </w:tcPr>
          <w:p>
            <w:pPr>
              <w:pStyle w:val="TableContents"/>
              <w:bidi w:val="0"/>
              <w:spacing w:before="0" w:after="283"/>
              <w:jc w:val="left"/>
              <w:rPr/>
            </w:pPr>
            <w:r>
              <w:rPr/>
              <w:t>Thomas Foley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45" w:name="ea029819201ex99-4.htm"/>
      <w:bookmarkStart w:id="146" w:name="ksea029819201ex994"/>
      <w:bookmarkEnd w:id="145"/>
      <w:bookmarkEnd w:id="146"/>
      <w:r>
        <w:rPr>
          <w:b/>
        </w:rPr>
        <w:t>Exhibit 99.4</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710"/>
        <w:gridCol w:w="1610"/>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610" w:type="dxa"/>
            <w:tcBorders>
              <w:bottom w:val="single" w:sz="12" w:space="0" w:color="000000"/>
            </w:tcBorders>
            <w:tcMar>
              <w:bottom w:w="28" w:type="dxa"/>
            </w:tcMar>
            <w:vAlign w:val="center"/>
          </w:tcPr>
          <w:p>
            <w:pPr>
              <w:pStyle w:val="TableContents"/>
              <w:bidi w:val="0"/>
              <w:spacing w:before="0" w:after="283"/>
              <w:jc w:val="left"/>
              <w:rPr/>
            </w:pPr>
            <w:r>
              <w:rPr/>
              <w:t>/s/ Taran Bakker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610" w:type="dxa"/>
            <w:tcBorders/>
            <w:vAlign w:val="center"/>
          </w:tcPr>
          <w:p>
            <w:pPr>
              <w:pStyle w:val="TableContents"/>
              <w:bidi w:val="0"/>
              <w:spacing w:before="0" w:after="283"/>
              <w:jc w:val="left"/>
              <w:rPr/>
            </w:pPr>
            <w:r>
              <w:rPr/>
              <w:t>Taran Bakker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47" w:name="ea029819201ex99-5.htm"/>
      <w:bookmarkStart w:id="148" w:name="ksea029819201ex995"/>
      <w:bookmarkEnd w:id="147"/>
      <w:bookmarkEnd w:id="148"/>
      <w:r>
        <w:rPr>
          <w:b/>
        </w:rPr>
        <w:t>Exhibit 99.5</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710"/>
        <w:gridCol w:w="186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865" w:type="dxa"/>
            <w:tcBorders>
              <w:bottom w:val="single" w:sz="12" w:space="0" w:color="000000"/>
            </w:tcBorders>
            <w:tcMar>
              <w:bottom w:w="28" w:type="dxa"/>
            </w:tcMar>
            <w:vAlign w:val="center"/>
          </w:tcPr>
          <w:p>
            <w:pPr>
              <w:pStyle w:val="TableContents"/>
              <w:bidi w:val="0"/>
              <w:spacing w:before="0" w:after="283"/>
              <w:jc w:val="left"/>
              <w:rPr/>
            </w:pPr>
            <w:r>
              <w:rPr/>
              <w:t>/s/ Michael Ewald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865" w:type="dxa"/>
            <w:tcBorders/>
            <w:vAlign w:val="center"/>
          </w:tcPr>
          <w:p>
            <w:pPr>
              <w:pStyle w:val="TableContents"/>
              <w:bidi w:val="0"/>
              <w:spacing w:before="0" w:after="283"/>
              <w:jc w:val="left"/>
              <w:rPr/>
            </w:pPr>
            <w:r>
              <w:rPr/>
              <w:t>Michael Ewald</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49" w:name="ea029819201ex99-6.htm"/>
      <w:bookmarkStart w:id="150" w:name="ksea029819201ex996"/>
      <w:bookmarkEnd w:id="149"/>
      <w:bookmarkEnd w:id="150"/>
      <w:r>
        <w:rPr>
          <w:rFonts w:ascii="Times New Roman;Times;Serif" w:hAnsi="Times New Roman;Times;Serif"/>
          <w:b/>
          <w:i w:val="false"/>
          <w:caps w:val="false"/>
          <w:smallCaps w:val="false"/>
          <w:sz w:val="20"/>
        </w:rPr>
        <w:t>Exhibit 99.6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710"/>
        <w:gridCol w:w="1940"/>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940" w:type="dxa"/>
            <w:tcBorders>
              <w:bottom w:val="single" w:sz="12" w:space="0" w:color="000000"/>
            </w:tcBorders>
            <w:tcMar>
              <w:bottom w:w="28" w:type="dxa"/>
            </w:tcMar>
            <w:vAlign w:val="center"/>
          </w:tcPr>
          <w:p>
            <w:pPr>
              <w:pStyle w:val="TableContents"/>
              <w:bidi w:val="0"/>
              <w:spacing w:before="0" w:after="283"/>
              <w:jc w:val="left"/>
              <w:rPr/>
            </w:pPr>
            <w:r>
              <w:rPr/>
              <w:t>/s/ Donald Fawcett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40" w:type="dxa"/>
            <w:tcBorders/>
            <w:vAlign w:val="center"/>
          </w:tcPr>
          <w:p>
            <w:pPr>
              <w:pStyle w:val="TableContents"/>
              <w:bidi w:val="0"/>
              <w:spacing w:before="0" w:after="283"/>
              <w:jc w:val="left"/>
              <w:rPr/>
            </w:pPr>
            <w:r>
              <w:rPr/>
              <w:t>Donald Fawcett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1" w:name="ea029819201ex99-7.htm"/>
      <w:bookmarkStart w:id="152" w:name="ksea029819201ex997"/>
      <w:bookmarkEnd w:id="151"/>
      <w:bookmarkEnd w:id="152"/>
      <w:r>
        <w:rPr>
          <w:rFonts w:ascii="Times New Roman;Times;Serif" w:hAnsi="Times New Roman;Times;Serif"/>
          <w:b/>
          <w:i w:val="false"/>
          <w:caps w:val="false"/>
          <w:smallCaps w:val="false"/>
          <w:sz w:val="20"/>
        </w:rPr>
        <w:t>Exhibit 99.7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710"/>
        <w:gridCol w:w="1610"/>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610" w:type="dxa"/>
            <w:tcBorders>
              <w:bottom w:val="single" w:sz="12" w:space="0" w:color="000000"/>
            </w:tcBorders>
            <w:tcMar>
              <w:bottom w:w="28" w:type="dxa"/>
            </w:tcMar>
            <w:vAlign w:val="center"/>
          </w:tcPr>
          <w:p>
            <w:pPr>
              <w:pStyle w:val="TableContents"/>
              <w:bidi w:val="0"/>
              <w:spacing w:before="0" w:after="283"/>
              <w:jc w:val="left"/>
              <w:rPr/>
            </w:pPr>
            <w:r>
              <w:rPr/>
              <w:t>/s/ Bryan Fenton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610" w:type="dxa"/>
            <w:tcBorders/>
            <w:vAlign w:val="center"/>
          </w:tcPr>
          <w:p>
            <w:pPr>
              <w:pStyle w:val="TableContents"/>
              <w:bidi w:val="0"/>
              <w:spacing w:before="0" w:after="283"/>
              <w:jc w:val="left"/>
              <w:rPr/>
            </w:pPr>
            <w:r>
              <w:rPr/>
              <w:t>Bryan Fenton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3" w:name="ea029819201ex99-8.htm"/>
      <w:bookmarkStart w:id="154" w:name="ksea029819201ex998"/>
      <w:bookmarkEnd w:id="153"/>
      <w:bookmarkEnd w:id="154"/>
      <w:r>
        <w:rPr>
          <w:rFonts w:ascii="Times New Roman;Times;Serif" w:hAnsi="Times New Roman;Times;Serif"/>
          <w:b/>
          <w:i w:val="false"/>
          <w:caps w:val="false"/>
          <w:smallCaps w:val="false"/>
          <w:sz w:val="20"/>
        </w:rPr>
        <w:t>Exhibit 99.8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710"/>
        <w:gridCol w:w="180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/s/ DeWolfe Miller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805" w:type="dxa"/>
            <w:tcBorders/>
            <w:vAlign w:val="center"/>
          </w:tcPr>
          <w:p>
            <w:pPr>
              <w:pStyle w:val="TableContents"/>
              <w:bidi w:val="0"/>
              <w:spacing w:before="0" w:after="283"/>
              <w:jc w:val="left"/>
              <w:rPr/>
            </w:pPr>
            <w:r>
              <w:rPr/>
              <w:t>DeWolfe Miller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5" w:name="ea029819201ex99-9.htm"/>
      <w:bookmarkStart w:id="156" w:name="ksea029819201ex999"/>
      <w:bookmarkEnd w:id="155"/>
      <w:bookmarkEnd w:id="156"/>
      <w:r>
        <w:rPr>
          <w:rFonts w:ascii="Times New Roman;Times;Serif" w:hAnsi="Times New Roman;Times;Serif"/>
          <w:b/>
          <w:i w:val="false"/>
          <w:caps w:val="false"/>
          <w:smallCaps w:val="false"/>
          <w:sz w:val="20"/>
        </w:rPr>
        <w:t>Exhibit 99.9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be Named as a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by Air Industries Group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the Registration Statement on Form S-4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 hereby consent, pursuant to Rule 438 of the Securities Act, to being named in such Registration Statement and any and all amendments and supplements thereto as a member of the board of directors of the Company following the consummation of the merger. I also consent to the filing of this consent as an exhibit to such Registration Statement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710"/>
        <w:gridCol w:w="14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475" w:type="dxa"/>
            <w:tcBorders>
              <w:bottom w:val="single" w:sz="12" w:space="0" w:color="000000"/>
            </w:tcBorders>
            <w:tcMar>
              <w:bottom w:w="28" w:type="dxa"/>
            </w:tcMar>
            <w:vAlign w:val="center"/>
          </w:tcPr>
          <w:p>
            <w:pPr>
              <w:pStyle w:val="TableContents"/>
              <w:bidi w:val="0"/>
              <w:spacing w:before="0" w:after="283"/>
              <w:jc w:val="left"/>
              <w:rPr/>
            </w:pPr>
            <w:r>
              <w:rPr/>
              <w:t>/s/ John Young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475" w:type="dxa"/>
            <w:tcBorders/>
            <w:vAlign w:val="center"/>
          </w:tcPr>
          <w:p>
            <w:pPr>
              <w:pStyle w:val="TableContents"/>
              <w:bidi w:val="0"/>
              <w:spacing w:before="0" w:after="283"/>
              <w:jc w:val="left"/>
              <w:rPr/>
            </w:pPr>
            <w:r>
              <w:rPr/>
              <w:t>John Young</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7" w:name="ea029819201ex-fee.htm"/>
      <w:bookmarkStart w:id="158" w:name="ksea029819201exfee"/>
      <w:bookmarkStart w:id="159" w:name="ea029819201ex-fee.htm"/>
      <w:bookmarkStart w:id="160" w:name="ksea029819201exfee"/>
      <w:bookmarkEnd w:id="159"/>
      <w:bookmarkEnd w:id="160"/>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AIR INDUSTRIES GROUP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3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2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2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126,900,000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$ 42,300.00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$ 5.84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0"/>
              <w:ind w:left="0" w:right="0" w:hanging="0"/>
              <w:jc w:val="right"/>
              <w:rPr/>
            </w:pPr>
            <w:bookmarkStart w:id="161" w:name="MaxAggtOfferingPrice"/>
            <w:bookmarkEnd w:id="161"/>
            <w:r>
              <w:rPr/>
              <w:t xml:space="preserve">$ 42,300.00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2" w:name="TotalFeeAmt"/>
            <w:bookmarkEnd w:id="162"/>
            <w:r>
              <w:rPr/>
              <w:t xml:space="preserve">$ 5.84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63" w:name="TotalPreviouslyPaidAmt"/>
            <w:bookmarkEnd w:id="16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64" w:name="TotalOffsetAmt"/>
            <w:bookmarkEnd w:id="16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65" w:name="NetFeeAmt"/>
            <w:bookmarkEnd w:id="165"/>
            <w:r>
              <w:rPr/>
              <w:t xml:space="preserve">$ 5.84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securities being registered will be issued by Air Industries Group (the "Registrant") in connection with the merger described in the proxy statement/prospectus forming a part of this Registration Statement. Pursuant to Rule 416(a), the Registration Statement also registers such indeterminate number of additional securities as may be issued to prevent dilution resulting from share subdivisions, share dividends or similar events. Estimated solely for the purpose of calculating the registration fee in accordance with Rule 457(f)(3) under the Securities Act. The securities expected to be cancelled in exchange for Common Stock of the Registrant are securities of a private limited liability company with an accumulated deficit, for which no market exists, and which have no par value. Accordingly, pursuant to Rule 457(f)(3), the proposed maximum aggregate offering price has been calculated as one-third of the aggregate par value of the shares of Common Stock of the Registrant, to be issued or reserved for issuance in the merger (126,900,000 shares * $0.001 par value per share / 3 = $42,300.00). Calculated pursuant to Section 6(b) of the Securities Act at a rate equal to $138.10 per $1,000,000 of the proposed maximum aggregate offering price, which is the fee rate in effect for the Commission's fiscal year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yperlink" Target="http://www.sec.gov/Archives/edgar/data/1009891/000119380513001557/e611262_ex3-1.htm" TargetMode="External"/><Relationship Id="rId10" Type="http://schemas.openxmlformats.org/officeDocument/2006/relationships/hyperlink" Target="http://www.sec.gov/Archives/edgar/data/1009891/000119380517000662/e616037_ex3-3.htm" TargetMode="External"/><Relationship Id="rId11" Type="http://schemas.openxmlformats.org/officeDocument/2006/relationships/hyperlink" Target="http://www.sec.gov/Archives/edgar/data/1009891/000121390019014973/f10q0619ex3-5_airindustries.htm" TargetMode="External"/><Relationship Id="rId12" Type="http://schemas.openxmlformats.org/officeDocument/2006/relationships/hyperlink" Target="http://www.sec.gov/Archives/edgar/data/1009891/000121390022064456/ea167154ex3-1_airindust.htm" TargetMode="External"/><Relationship Id="rId13" Type="http://schemas.openxmlformats.org/officeDocument/2006/relationships/hyperlink" Target="http://www.sec.gov/Archives/edgar/data/1009891/000121390025062511/ea024837101ex3-01_airindust.htm" TargetMode="External"/><Relationship Id="rId14" Type="http://schemas.openxmlformats.org/officeDocument/2006/relationships/hyperlink" Target="http://www.sec.gov/Archives/edgar/data/1009891/000121390025062511/ea024837101ex3-02_airindust.htm" TargetMode="External"/><Relationship Id="rId15" Type="http://schemas.openxmlformats.org/officeDocument/2006/relationships/hyperlink" Target="http://www.sec.gov/Archives/edgar/data/1009891/000121390026035731/ea028229801ex10-15.htm" TargetMode="External"/><Relationship Id="rId16" Type="http://schemas.openxmlformats.org/officeDocument/2006/relationships/hyperlink" Target="http://www.sec.gov/Archives/edgar/data/1009891/000121390019005550/f10k2018ex21-1_airindus.htm" TargetMode="External"/><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2.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483</Pages>
  <Words>269873</Words>
  <Characters>1456468</Characters>
  <CharactersWithSpaces>1734607</CharactersWithSpaces>
  <Paragraphs>25039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