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847-10q_airindus.htm"/>
      <w:bookmarkStart w:id="1" w:name="ksea030084710q_airindus"/>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shd w:fill="FFFFFF" w:val="clear"/>
        </w:rPr>
        <w:t>☒</w:t>
      </w:r>
      <w:r>
        <w:rPr>
          <w:caps w:val="false"/>
          <w:smallCaps w:val="false"/>
        </w:rPr>
        <w:t> </w:t>
      </w:r>
      <w:r>
        <w:rPr>
          <w:rFonts w:ascii="Times New Roman;Times;Serif" w:hAnsi="Times New Roman;Times;Serif"/>
          <w:b/>
          <w:i w:val="false"/>
          <w:caps w:val="false"/>
          <w:smallCaps w:val="false"/>
          <w:sz w:val="20"/>
        </w:rPr>
        <w:t>Quarterly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June 30,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shd w:fill="FFFFFF" w:val="clear"/>
        </w:rPr>
        <w:t>☐</w:t>
      </w:r>
      <w:r>
        <w:rPr>
          <w:caps w:val="false"/>
          <w:smallCaps w:val="false"/>
        </w:rPr>
        <w:t> </w:t>
      </w:r>
      <w:r>
        <w:rPr>
          <w:rFonts w:ascii="Times New Roman;Times;Serif" w:hAnsi="Times New Roman;Times;Serif"/>
          <w:b/>
          <w:i w:val="false"/>
          <w:caps w:val="false"/>
          <w:smallCaps w:val="false"/>
          <w:sz w:val="20"/>
        </w:rPr>
        <w:t>Transition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 to_______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No. 001-35927</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AIR INDUSTRIES GROUP</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sz w:val="20"/>
              </w:rPr>
            </w:pPr>
            <w:r>
              <w:rPr>
                <w:sz w:val="20"/>
              </w:rPr>
              <w:t>Nevada</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sz w:val="20"/>
              </w:rPr>
            </w:pPr>
            <w:r>
              <w:rPr>
                <w:sz w:val="20"/>
              </w:rPr>
              <w:t>80-0948413</w:t>
            </w:r>
          </w:p>
        </w:tc>
      </w:tr>
      <w:tr>
        <w:trPr/>
        <w:tc>
          <w:tcPr>
            <w:tcW w:w="2495" w:type="dxa"/>
            <w:tcBorders/>
            <w:tcMar>
              <w:bottom w:w="0" w:type="dxa"/>
            </w:tcMar>
            <w:vAlign w:val="center"/>
          </w:tcPr>
          <w:p>
            <w:pPr>
              <w:pStyle w:val="TableContents"/>
              <w:bidi w:val="0"/>
              <w:spacing w:before="0" w:after="283"/>
              <w:jc w:val="center"/>
              <w:rPr>
                <w:sz w:val="20"/>
              </w:rPr>
            </w:pPr>
            <w:r>
              <w:rPr>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1460 Fifth Avenue, Bay Shore, New York 11706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(631) 968-5000</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155" w:type="dxa"/>
        <w:jc w:val="left"/>
        <w:tblInd w:w="0" w:type="dxa"/>
        <w:tblLayout w:type="fixed"/>
        <w:tblCellMar>
          <w:top w:w="0" w:type="dxa"/>
          <w:left w:w="0" w:type="dxa"/>
          <w:bottom w:w="28" w:type="dxa"/>
          <w:right w:w="0" w:type="dxa"/>
        </w:tblCellMar>
      </w:tblPr>
      <w:tblGrid>
        <w:gridCol w:w="1625"/>
        <w:gridCol w:w="60"/>
        <w:gridCol w:w="1610"/>
        <w:gridCol w:w="60"/>
        <w:gridCol w:w="3800"/>
      </w:tblGrid>
      <w:tr>
        <w:trPr/>
        <w:tc>
          <w:tcPr>
            <w:tcW w:w="162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80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625" w:type="dxa"/>
            <w:tcBorders/>
            <w:shd w:fill="CCEEFF" w:val="clear"/>
            <w:tcMar>
              <w:bottom w:w="0" w:type="dxa"/>
            </w:tcMar>
            <w:vAlign w:val="center"/>
          </w:tcPr>
          <w:p>
            <w:pPr>
              <w:pStyle w:val="TableContents"/>
              <w:bidi w:val="0"/>
              <w:spacing w:before="0" w:after="283"/>
              <w:jc w:val="center"/>
              <w:rPr>
                <w:sz w:val="20"/>
              </w:rPr>
            </w:pPr>
            <w:r>
              <w:rPr>
                <w:sz w:val="20"/>
              </w:rPr>
              <w:t>Common Stock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r>
              <w:rPr>
                <w:sz w:val="20"/>
              </w:rPr>
              <w:t>AIRI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800" w:type="dxa"/>
            <w:tcBorders/>
            <w:shd w:fill="CCEEFF" w:val="clear"/>
            <w:tcMar>
              <w:bottom w:w="0" w:type="dxa"/>
            </w:tcMar>
            <w:vAlign w:val="center"/>
          </w:tcPr>
          <w:p>
            <w:pPr>
              <w:pStyle w:val="TableContents"/>
              <w:bidi w:val="0"/>
              <w:spacing w:before="0" w:after="283"/>
              <w:jc w:val="center"/>
              <w:rPr>
                <w:sz w:val="20"/>
              </w:rPr>
            </w:pPr>
            <w:r>
              <w:rPr>
                <w:sz w:val="20"/>
              </w:rPr>
              <w:t>NYSE-American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every Interactive Data File required to be submitted pursuant to Rule 405 of Regulation S-T (§232.405 of this chapter) during the preceding 12 months (or for such shorter period that the registrant was required to submit and post such files).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150"/>
        <w:gridCol w:w="2585"/>
      </w:tblGrid>
      <w:tr>
        <w:trPr/>
        <w:tc>
          <w:tcPr>
            <w:tcW w:w="2150" w:type="dxa"/>
            <w:tcBorders/>
            <w:vAlign w:val="center"/>
          </w:tcPr>
          <w:p>
            <w:pPr>
              <w:pStyle w:val="TableContents"/>
              <w:bidi w:val="0"/>
              <w:spacing w:before="0" w:after="283"/>
              <w:jc w:val="left"/>
              <w:rPr>
                <w:sz w:val="20"/>
              </w:rPr>
            </w:pPr>
            <w:r>
              <w:rPr>
                <w:sz w:val="20"/>
              </w:rPr>
              <w:t>Large Accelerated Filer ☐</w:t>
            </w:r>
          </w:p>
        </w:tc>
        <w:tc>
          <w:tcPr>
            <w:tcW w:w="2585" w:type="dxa"/>
            <w:tcBorders/>
            <w:vAlign w:val="center"/>
          </w:tcPr>
          <w:p>
            <w:pPr>
              <w:pStyle w:val="TableContents"/>
              <w:bidi w:val="0"/>
              <w:spacing w:before="0" w:after="283"/>
              <w:jc w:val="left"/>
              <w:rPr>
                <w:sz w:val="20"/>
              </w:rPr>
            </w:pPr>
            <w:r>
              <w:rPr>
                <w:sz w:val="20"/>
              </w:rPr>
              <w:t>Non-Accelerated Filer ☒</w:t>
            </w:r>
          </w:p>
        </w:tc>
      </w:tr>
      <w:tr>
        <w:trPr/>
        <w:tc>
          <w:tcPr>
            <w:tcW w:w="2150" w:type="dxa"/>
            <w:tcBorders/>
            <w:vAlign w:val="center"/>
          </w:tcPr>
          <w:p>
            <w:pPr>
              <w:pStyle w:val="TableContents"/>
              <w:bidi w:val="0"/>
              <w:spacing w:before="0" w:after="283"/>
              <w:jc w:val="left"/>
              <w:rPr>
                <w:sz w:val="20"/>
              </w:rPr>
            </w:pPr>
            <w:r>
              <w:rPr>
                <w:sz w:val="20"/>
              </w:rPr>
              <w:t>Accelerated Filer ☐</w:t>
            </w:r>
          </w:p>
        </w:tc>
        <w:tc>
          <w:tcPr>
            <w:tcW w:w="2585" w:type="dxa"/>
            <w:tcBorders/>
            <w:vAlign w:val="center"/>
          </w:tcPr>
          <w:p>
            <w:pPr>
              <w:pStyle w:val="TableContents"/>
              <w:bidi w:val="0"/>
              <w:spacing w:before="0" w:after="283"/>
              <w:jc w:val="left"/>
              <w:rPr>
                <w:sz w:val="20"/>
              </w:rPr>
            </w:pPr>
            <w:r>
              <w:rPr>
                <w:sz w:val="20"/>
              </w:rPr>
              <w:t>Smaller Reporting Company ☒</w:t>
            </w:r>
          </w:p>
        </w:tc>
      </w:tr>
      <w:tr>
        <w:trPr/>
        <w:tc>
          <w:tcPr>
            <w:tcW w:w="215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registrant is a shell company (as defined in Rule 12b-2 of the Exchange Act).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4,850,658 shares of the registrant’s common stock outstanding as of August 11,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w:t>
      </w:r>
    </w:p>
    <w:p>
      <w:pPr>
        <w:pStyle w:val="TextBody"/>
        <w:bidi w:val="0"/>
        <w:spacing w:before="0" w:after="0"/>
        <w:ind w:left="0" w:right="0" w:hanging="0"/>
        <w:jc w:val="center"/>
        <w:rPr>
          <w:caps w:val="false"/>
          <w:smallCaps w:val="false"/>
        </w:rPr>
      </w:pPr>
      <w:r>
        <w:rPr>
          <w:caps w:val="false"/>
          <w:smallCaps w:val="false"/>
        </w:rPr>
        <w:t> </w:t>
      </w:r>
    </w:p>
    <w:tbl>
      <w:tblPr>
        <w:tblW w:w="8850" w:type="dxa"/>
        <w:jc w:val="left"/>
        <w:tblInd w:w="0" w:type="dxa"/>
        <w:tblLayout w:type="fixed"/>
        <w:tblCellMar>
          <w:top w:w="0" w:type="dxa"/>
          <w:left w:w="0" w:type="dxa"/>
          <w:bottom w:w="0" w:type="dxa"/>
          <w:right w:w="0" w:type="dxa"/>
        </w:tblCellMar>
      </w:tblPr>
      <w:tblGrid>
        <w:gridCol w:w="785"/>
        <w:gridCol w:w="7280"/>
        <w:gridCol w:w="785"/>
      </w:tblGrid>
      <w:tr>
        <w:trPr/>
        <w:tc>
          <w:tcPr>
            <w:tcW w:w="78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 No.</w:t>
            </w:r>
          </w:p>
        </w:tc>
      </w:tr>
      <w:tr>
        <w:trPr/>
        <w:tc>
          <w:tcPr>
            <w:tcW w:w="785" w:type="dxa"/>
            <w:tcBorders/>
            <w:shd w:fill="CCEEFF" w:val="clear"/>
            <w:vAlign w:val="center"/>
          </w:tcPr>
          <w:p>
            <w:pPr>
              <w:pStyle w:val="TableContents"/>
              <w:bidi w:val="0"/>
              <w:spacing w:before="0" w:after="283"/>
              <w:jc w:val="left"/>
              <w:rPr>
                <w:sz w:val="20"/>
              </w:rPr>
            </w:pPr>
            <w:r>
              <w:rPr>
                <w:sz w:val="20"/>
              </w:rPr>
              <w:t>PART I.</w:t>
            </w:r>
          </w:p>
        </w:tc>
        <w:tc>
          <w:tcPr>
            <w:tcW w:w="7280" w:type="dxa"/>
            <w:tcBorders/>
            <w:shd w:fill="CCEEFF" w:val="clear"/>
            <w:vAlign w:val="center"/>
          </w:tcPr>
          <w:p>
            <w:pPr>
              <w:pStyle w:val="TableContents"/>
              <w:bidi w:val="0"/>
              <w:spacing w:before="0" w:after="283"/>
              <w:jc w:val="left"/>
              <w:rPr/>
            </w:pPr>
            <w:hyperlink w:anchor="a_001">
              <w:r>
                <w:rPr>
                  <w:rStyle w:val="InternetLink"/>
                  <w:sz w:val="20"/>
                </w:rPr>
                <w:t>FINANCIAL INFORMATION</w:t>
              </w:r>
            </w:hyperlink>
          </w:p>
        </w:tc>
        <w:tc>
          <w:tcPr>
            <w:tcW w:w="785" w:type="dxa"/>
            <w:tcBorders/>
            <w:shd w:fill="CCEEFF" w:val="clear"/>
            <w:vAlign w:val="center"/>
          </w:tcPr>
          <w:p>
            <w:pPr>
              <w:pStyle w:val="TableContents"/>
              <w:bidi w:val="0"/>
              <w:spacing w:before="0" w:after="283"/>
              <w:jc w:val="center"/>
              <w:rPr/>
            </w:pPr>
            <w:r>
              <w:rPr/>
              <w:t>2</w:t>
            </w:r>
          </w:p>
        </w:tc>
      </w:tr>
      <w:tr>
        <w:trPr/>
        <w:tc>
          <w:tcPr>
            <w:tcW w:w="8065" w:type="dxa"/>
            <w:gridSpan w:val="2"/>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 </w:t>
            </w:r>
          </w:p>
        </w:tc>
      </w:tr>
      <w:tr>
        <w:trPr/>
        <w:tc>
          <w:tcPr>
            <w:tcW w:w="785" w:type="dxa"/>
            <w:tcBorders/>
            <w:shd w:fill="CCEEFF" w:val="clear"/>
            <w:vAlign w:val="center"/>
          </w:tcPr>
          <w:p>
            <w:pPr>
              <w:pStyle w:val="TableContents"/>
              <w:bidi w:val="0"/>
              <w:spacing w:before="0" w:after="283"/>
              <w:jc w:val="left"/>
              <w:rPr>
                <w:sz w:val="20"/>
              </w:rPr>
            </w:pPr>
            <w:r>
              <w:rPr>
                <w:sz w:val="20"/>
              </w:rPr>
              <w:t>Item 1.</w:t>
            </w:r>
          </w:p>
        </w:tc>
        <w:tc>
          <w:tcPr>
            <w:tcW w:w="7280" w:type="dxa"/>
            <w:tcBorders/>
            <w:shd w:fill="CCEEFF" w:val="clear"/>
            <w:vAlign w:val="center"/>
          </w:tcPr>
          <w:p>
            <w:pPr>
              <w:pStyle w:val="TableContents"/>
              <w:bidi w:val="0"/>
              <w:spacing w:before="0" w:after="283"/>
              <w:jc w:val="left"/>
              <w:rPr/>
            </w:pPr>
            <w:hyperlink w:anchor="a_002">
              <w:r>
                <w:rPr>
                  <w:rStyle w:val="InternetLink"/>
                  <w:sz w:val="20"/>
                </w:rPr>
                <w:t>Financial Statements</w:t>
              </w:r>
            </w:hyperlink>
          </w:p>
        </w:tc>
        <w:tc>
          <w:tcPr>
            <w:tcW w:w="785" w:type="dxa"/>
            <w:tcBorders/>
            <w:shd w:fill="CCEEFF" w:val="clear"/>
            <w:vAlign w:val="center"/>
          </w:tcPr>
          <w:p>
            <w:pPr>
              <w:pStyle w:val="TableContents"/>
              <w:bidi w:val="0"/>
              <w:spacing w:before="0" w:after="283"/>
              <w:jc w:val="center"/>
              <w:rPr/>
            </w:pPr>
            <w:r>
              <w:rPr/>
              <w:t>2</w:t>
            </w:r>
          </w:p>
        </w:tc>
      </w:tr>
      <w:tr>
        <w:trPr/>
        <w:tc>
          <w:tcPr>
            <w:tcW w:w="8065" w:type="dxa"/>
            <w:gridSpan w:val="2"/>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 </w:t>
            </w:r>
          </w:p>
        </w:tc>
      </w:tr>
      <w:tr>
        <w:trPr/>
        <w:tc>
          <w:tcPr>
            <w:tcW w:w="785" w:type="dxa"/>
            <w:tcBorders/>
            <w:shd w:fill="CCEEFF" w:val="clear"/>
            <w:vAlign w:val="center"/>
          </w:tcPr>
          <w:p>
            <w:pPr>
              <w:pStyle w:val="TableContents"/>
              <w:bidi w:val="0"/>
              <w:spacing w:before="0" w:after="283"/>
              <w:jc w:val="left"/>
              <w:rPr>
                <w:sz w:val="20"/>
              </w:rPr>
            </w:pPr>
            <w:r>
              <w:rPr>
                <w:sz w:val="20"/>
              </w:rPr>
              <w:t>Item 2.</w:t>
            </w:r>
          </w:p>
        </w:tc>
        <w:tc>
          <w:tcPr>
            <w:tcW w:w="7280" w:type="dxa"/>
            <w:tcBorders/>
            <w:shd w:fill="CCEEFF" w:val="clear"/>
            <w:vAlign w:val="center"/>
          </w:tcPr>
          <w:p>
            <w:pPr>
              <w:pStyle w:val="TableContents"/>
              <w:bidi w:val="0"/>
              <w:spacing w:before="0" w:after="283"/>
              <w:jc w:val="left"/>
              <w:rPr/>
            </w:pPr>
            <w:hyperlink w:anchor="a_003">
              <w:r>
                <w:rPr>
                  <w:rStyle w:val="InternetLink"/>
                  <w:sz w:val="20"/>
                </w:rPr>
                <w:t>Management’s Discussion and Analysis of Financial Condition and Results of Operations</w:t>
              </w:r>
            </w:hyperlink>
          </w:p>
        </w:tc>
        <w:tc>
          <w:tcPr>
            <w:tcW w:w="785" w:type="dxa"/>
            <w:tcBorders/>
            <w:shd w:fill="CCEEFF" w:val="clear"/>
            <w:vAlign w:val="center"/>
          </w:tcPr>
          <w:p>
            <w:pPr>
              <w:pStyle w:val="TableContents"/>
              <w:bidi w:val="0"/>
              <w:spacing w:before="0" w:after="283"/>
              <w:jc w:val="center"/>
              <w:rPr>
                <w:sz w:val="20"/>
              </w:rPr>
            </w:pPr>
            <w:r>
              <w:rPr>
                <w:sz w:val="20"/>
              </w:rPr>
              <w:t>22</w:t>
            </w:r>
          </w:p>
        </w:tc>
      </w:tr>
      <w:tr>
        <w:trPr/>
        <w:tc>
          <w:tcPr>
            <w:tcW w:w="8065" w:type="dxa"/>
            <w:gridSpan w:val="2"/>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 </w:t>
            </w:r>
          </w:p>
        </w:tc>
      </w:tr>
      <w:tr>
        <w:trPr/>
        <w:tc>
          <w:tcPr>
            <w:tcW w:w="785" w:type="dxa"/>
            <w:tcBorders/>
            <w:shd w:fill="CCEEFF" w:val="clear"/>
            <w:vAlign w:val="center"/>
          </w:tcPr>
          <w:p>
            <w:pPr>
              <w:pStyle w:val="TableContents"/>
              <w:bidi w:val="0"/>
              <w:spacing w:before="0" w:after="283"/>
              <w:jc w:val="left"/>
              <w:rPr>
                <w:sz w:val="20"/>
              </w:rPr>
            </w:pPr>
            <w:r>
              <w:rPr>
                <w:sz w:val="20"/>
              </w:rPr>
              <w:t>Item 4.</w:t>
            </w:r>
          </w:p>
        </w:tc>
        <w:tc>
          <w:tcPr>
            <w:tcW w:w="7280" w:type="dxa"/>
            <w:tcBorders/>
            <w:shd w:fill="CCEEFF" w:val="clear"/>
            <w:vAlign w:val="center"/>
          </w:tcPr>
          <w:p>
            <w:pPr>
              <w:pStyle w:val="TableContents"/>
              <w:bidi w:val="0"/>
              <w:spacing w:before="0" w:after="283"/>
              <w:jc w:val="left"/>
              <w:rPr/>
            </w:pPr>
            <w:hyperlink w:anchor="a_004">
              <w:r>
                <w:rPr>
                  <w:rStyle w:val="InternetLink"/>
                  <w:sz w:val="20"/>
                </w:rPr>
                <w:t>Controls and Procedures</w:t>
              </w:r>
            </w:hyperlink>
          </w:p>
        </w:tc>
        <w:tc>
          <w:tcPr>
            <w:tcW w:w="785" w:type="dxa"/>
            <w:tcBorders/>
            <w:shd w:fill="CCEEFF" w:val="clear"/>
            <w:vAlign w:val="center"/>
          </w:tcPr>
          <w:p>
            <w:pPr>
              <w:pStyle w:val="TableContents"/>
              <w:bidi w:val="0"/>
              <w:spacing w:before="0" w:after="283"/>
              <w:jc w:val="center"/>
              <w:rPr>
                <w:sz w:val="20"/>
              </w:rPr>
            </w:pPr>
            <w:r>
              <w:rPr>
                <w:sz w:val="20"/>
              </w:rPr>
              <w:t>31</w:t>
            </w:r>
          </w:p>
        </w:tc>
      </w:tr>
      <w:tr>
        <w:trPr/>
        <w:tc>
          <w:tcPr>
            <w:tcW w:w="8065" w:type="dxa"/>
            <w:gridSpan w:val="2"/>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 </w:t>
            </w:r>
          </w:p>
        </w:tc>
      </w:tr>
      <w:tr>
        <w:trPr/>
        <w:tc>
          <w:tcPr>
            <w:tcW w:w="785" w:type="dxa"/>
            <w:tcBorders/>
            <w:shd w:fill="CCEEFF" w:val="clear"/>
            <w:vAlign w:val="center"/>
          </w:tcPr>
          <w:p>
            <w:pPr>
              <w:pStyle w:val="TableContents"/>
              <w:bidi w:val="0"/>
              <w:spacing w:before="0" w:after="283"/>
              <w:jc w:val="left"/>
              <w:rPr>
                <w:sz w:val="20"/>
              </w:rPr>
            </w:pPr>
            <w:r>
              <w:rPr>
                <w:sz w:val="20"/>
              </w:rPr>
              <w:t>PART II. </w:t>
            </w:r>
          </w:p>
        </w:tc>
        <w:tc>
          <w:tcPr>
            <w:tcW w:w="7280" w:type="dxa"/>
            <w:tcBorders/>
            <w:shd w:fill="CCEEFF" w:val="clear"/>
            <w:vAlign w:val="center"/>
          </w:tcPr>
          <w:p>
            <w:pPr>
              <w:pStyle w:val="TableContents"/>
              <w:bidi w:val="0"/>
              <w:spacing w:before="0" w:after="283"/>
              <w:jc w:val="left"/>
              <w:rPr/>
            </w:pPr>
            <w:hyperlink w:anchor="a_005">
              <w:r>
                <w:rPr>
                  <w:rStyle w:val="InternetLink"/>
                  <w:sz w:val="20"/>
                </w:rPr>
                <w:t>OTHER INFORMATION</w:t>
              </w:r>
            </w:hyperlink>
          </w:p>
        </w:tc>
        <w:tc>
          <w:tcPr>
            <w:tcW w:w="785" w:type="dxa"/>
            <w:tcBorders/>
            <w:shd w:fill="CCEEFF" w:val="clear"/>
            <w:vAlign w:val="center"/>
          </w:tcPr>
          <w:p>
            <w:pPr>
              <w:pStyle w:val="TableContents"/>
              <w:bidi w:val="0"/>
              <w:spacing w:before="0" w:after="283"/>
              <w:jc w:val="center"/>
              <w:rPr>
                <w:sz w:val="20"/>
              </w:rPr>
            </w:pPr>
            <w:r>
              <w:rPr>
                <w:sz w:val="20"/>
              </w:rPr>
              <w:t>32</w:t>
            </w:r>
          </w:p>
        </w:tc>
      </w:tr>
      <w:tr>
        <w:trPr/>
        <w:tc>
          <w:tcPr>
            <w:tcW w:w="8065" w:type="dxa"/>
            <w:gridSpan w:val="2"/>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 </w:t>
            </w:r>
          </w:p>
        </w:tc>
      </w:tr>
      <w:tr>
        <w:trPr/>
        <w:tc>
          <w:tcPr>
            <w:tcW w:w="785" w:type="dxa"/>
            <w:tcBorders/>
            <w:shd w:fill="CCEEFF" w:val="clear"/>
            <w:vAlign w:val="center"/>
          </w:tcPr>
          <w:p>
            <w:pPr>
              <w:pStyle w:val="TableContents"/>
              <w:bidi w:val="0"/>
              <w:spacing w:before="0" w:after="283"/>
              <w:jc w:val="left"/>
              <w:rPr>
                <w:sz w:val="20"/>
              </w:rPr>
            </w:pPr>
            <w:r>
              <w:rPr>
                <w:sz w:val="20"/>
              </w:rPr>
              <w:t>Item 1A. </w:t>
            </w:r>
          </w:p>
        </w:tc>
        <w:tc>
          <w:tcPr>
            <w:tcW w:w="7280" w:type="dxa"/>
            <w:tcBorders/>
            <w:shd w:fill="CCEEFF" w:val="clear"/>
            <w:vAlign w:val="center"/>
          </w:tcPr>
          <w:p>
            <w:pPr>
              <w:pStyle w:val="TableContents"/>
              <w:bidi w:val="0"/>
              <w:spacing w:before="0" w:after="283"/>
              <w:jc w:val="left"/>
              <w:rPr/>
            </w:pPr>
            <w:hyperlink w:anchor="a_006">
              <w:r>
                <w:rPr>
                  <w:rStyle w:val="InternetLink"/>
                  <w:sz w:val="20"/>
                </w:rPr>
                <w:t>Risk Factors</w:t>
              </w:r>
            </w:hyperlink>
          </w:p>
        </w:tc>
        <w:tc>
          <w:tcPr>
            <w:tcW w:w="785" w:type="dxa"/>
            <w:tcBorders/>
            <w:shd w:fill="CCEEFF" w:val="clear"/>
            <w:vAlign w:val="center"/>
          </w:tcPr>
          <w:p>
            <w:pPr>
              <w:pStyle w:val="TableContents"/>
              <w:bidi w:val="0"/>
              <w:spacing w:before="0" w:after="283"/>
              <w:jc w:val="center"/>
              <w:rPr>
                <w:sz w:val="20"/>
              </w:rPr>
            </w:pPr>
            <w:r>
              <w:rPr>
                <w:sz w:val="20"/>
              </w:rPr>
              <w:t>32</w:t>
            </w:r>
          </w:p>
        </w:tc>
      </w:tr>
      <w:tr>
        <w:trPr/>
        <w:tc>
          <w:tcPr>
            <w:tcW w:w="78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 </w:t>
            </w:r>
          </w:p>
        </w:tc>
      </w:tr>
      <w:tr>
        <w:trPr/>
        <w:tc>
          <w:tcPr>
            <w:tcW w:w="785" w:type="dxa"/>
            <w:tcBorders/>
            <w:shd w:fill="CCEEFF" w:val="clear"/>
            <w:vAlign w:val="center"/>
          </w:tcPr>
          <w:p>
            <w:pPr>
              <w:pStyle w:val="TableContents"/>
              <w:bidi w:val="0"/>
              <w:spacing w:before="0" w:after="283"/>
              <w:jc w:val="left"/>
              <w:rPr>
                <w:sz w:val="20"/>
              </w:rPr>
            </w:pPr>
            <w:r>
              <w:rPr>
                <w:sz w:val="20"/>
              </w:rPr>
              <w:t>Item 6.</w:t>
            </w:r>
          </w:p>
        </w:tc>
        <w:tc>
          <w:tcPr>
            <w:tcW w:w="7280" w:type="dxa"/>
            <w:tcBorders/>
            <w:shd w:fill="CCEEFF" w:val="clear"/>
            <w:vAlign w:val="center"/>
          </w:tcPr>
          <w:p>
            <w:pPr>
              <w:pStyle w:val="TableContents"/>
              <w:bidi w:val="0"/>
              <w:spacing w:before="0" w:after="283"/>
              <w:jc w:val="left"/>
              <w:rPr/>
            </w:pPr>
            <w:hyperlink w:anchor="a_007">
              <w:r>
                <w:rPr>
                  <w:rStyle w:val="InternetLink"/>
                  <w:sz w:val="20"/>
                </w:rPr>
                <w:t>Exhibits</w:t>
              </w:r>
            </w:hyperlink>
          </w:p>
        </w:tc>
        <w:tc>
          <w:tcPr>
            <w:tcW w:w="785" w:type="dxa"/>
            <w:tcBorders/>
            <w:shd w:fill="CCEEFF" w:val="clear"/>
            <w:vAlign w:val="center"/>
          </w:tcPr>
          <w:p>
            <w:pPr>
              <w:pStyle w:val="TableContents"/>
              <w:bidi w:val="0"/>
              <w:spacing w:before="0" w:after="283"/>
              <w:jc w:val="center"/>
              <w:rPr>
                <w:sz w:val="20"/>
              </w:rPr>
            </w:pPr>
            <w:r>
              <w:rPr>
                <w:sz w:val="20"/>
              </w:rPr>
              <w:t>32</w:t>
            </w:r>
          </w:p>
        </w:tc>
      </w:tr>
      <w:tr>
        <w:trPr/>
        <w:tc>
          <w:tcPr>
            <w:tcW w:w="8065" w:type="dxa"/>
            <w:gridSpan w:val="2"/>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 </w:t>
            </w:r>
          </w:p>
        </w:tc>
      </w:tr>
      <w:tr>
        <w:trPr/>
        <w:tc>
          <w:tcPr>
            <w:tcW w:w="8065" w:type="dxa"/>
            <w:gridSpan w:val="2"/>
            <w:tcBorders/>
            <w:shd w:fill="CCEEFF" w:val="clear"/>
            <w:vAlign w:val="center"/>
          </w:tcPr>
          <w:p>
            <w:pPr>
              <w:pStyle w:val="TableContents"/>
              <w:bidi w:val="0"/>
              <w:spacing w:before="0" w:after="283"/>
              <w:jc w:val="left"/>
              <w:rPr/>
            </w:pPr>
            <w:hyperlink w:anchor="a_008">
              <w:r>
                <w:rPr>
                  <w:rStyle w:val="InternetLink"/>
                  <w:sz w:val="20"/>
                </w:rPr>
                <w:t>SIGNATURES</w:t>
              </w:r>
            </w:hyperlink>
          </w:p>
        </w:tc>
        <w:tc>
          <w:tcPr>
            <w:tcW w:w="785" w:type="dxa"/>
            <w:tcBorders/>
            <w:shd w:fill="CCEEFF" w:val="clear"/>
            <w:vAlign w:val="center"/>
          </w:tcPr>
          <w:p>
            <w:pPr>
              <w:pStyle w:val="TableContents"/>
              <w:bidi w:val="0"/>
              <w:spacing w:before="0" w:after="283"/>
              <w:jc w:val="center"/>
              <w:rPr>
                <w:sz w:val="20"/>
              </w:rPr>
            </w:pPr>
            <w:r>
              <w:rPr>
                <w:sz w:val="20"/>
              </w:rPr>
              <w:t>33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filed by Air Industries Group (herein referred to as “Air Industries”, the “company”, “we”, “us”, or “our”) contains “forward-looking statements” within the meaning of Section 27A of the Securities Act of 1933, as amended, or Securities Act, and Section 21E of the Securities Exchange Act of 1934, or Exchange Act. Certain of the matters discussed herein concerning, among other items, our operations, cash flows, financial position and economic performance including, in particular, future sales, product demand, competition and the effect of economic conditions, include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predictive in nature and can be identified by the fact that they do not relate strictly to historical or current facts and generally include words such as “expects,” “anticipates,” “intends,” “plans,” “believes,” “estimates” and similar expressions. Although we believe that these statements are based upon reasonable assumptions, including projections of orders, sales, operating margins, earnings, cash flow, research and development costs, working capital, capital expenditures, distribution channels, profitability, new products, adequacy of funds from operations, and general economic conditions, these statements and other projections contained herein expressing opinions about future outcomes and non-historical information, are subject to uncertainties and, therefore, there is no assurance that the outcomes expressed in these statements will be achieved.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cautioned that forward-looking statements are not guarantees of future performance and actual results or developments may differ materially from the expectations expressed in forward-looking statements contained herein. Given these uncertainties, you should not place any reliance on these forward-looking statements which speak only as of the date hereof. Factors that could cause actual results to differ materially from those reflected in the forward-looking statements include, but are not limited to, those discussed under the heading “Risk Factors” in our Annual Report on Form 10-K for the year ended December 31, 2025, and elsewhere in this report and the risks discussed in our other filings with the Securities and Exchange Commission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update or revise publicly and undertake no obligation to publicly update any forward-looking statement, whether as a result of new information, future events or otherwise, except as may be required under applicable securities laws. You are advised, however, to review any additional disclosures we make in our reports filed with the SEC.</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28"/>
        <w:gridCol w:w="677"/>
      </w:tblGrid>
      <w:tr>
        <w:trPr/>
        <w:tc>
          <w:tcPr>
            <w:tcW w:w="9528" w:type="dxa"/>
            <w:tcBorders/>
            <w:vAlign w:val="center"/>
          </w:tcPr>
          <w:p>
            <w:pPr>
              <w:pStyle w:val="TableContents"/>
              <w:bidi w:val="0"/>
              <w:spacing w:before="0" w:after="283"/>
              <w:ind w:left="0" w:right="0" w:hanging="180"/>
              <w:jc w:val="both"/>
              <w:rPr/>
            </w:pPr>
            <w:r>
              <w:rPr/>
              <w:t> </w:t>
            </w:r>
          </w:p>
        </w:tc>
        <w:tc>
          <w:tcPr>
            <w:tcW w:w="677" w:type="dxa"/>
            <w:tcBorders>
              <w:bottom w:val="single" w:sz="12" w:space="0" w:color="000000"/>
            </w:tcBorders>
            <w:tcMar>
              <w:bottom w:w="28" w:type="dxa"/>
            </w:tcMar>
            <w:vAlign w:val="center"/>
          </w:tcPr>
          <w:p>
            <w:pPr>
              <w:pStyle w:val="TableContents"/>
              <w:bidi w:val="0"/>
              <w:spacing w:before="0" w:after="283"/>
              <w:ind w:left="0" w:right="0" w:hanging="180"/>
              <w:jc w:val="center"/>
              <w:rPr>
                <w:b/>
                <w:sz w:val="20"/>
              </w:rPr>
            </w:pPr>
            <w:r>
              <w:rPr>
                <w:b/>
                <w:sz w:val="20"/>
              </w:rPr>
              <w:t>Page No.</w:t>
            </w:r>
          </w:p>
        </w:tc>
      </w:tr>
      <w:tr>
        <w:trPr/>
        <w:tc>
          <w:tcPr>
            <w:tcW w:w="9528" w:type="dxa"/>
            <w:tcBorders/>
            <w:shd w:fill="CCEEFF" w:val="clear"/>
            <w:vAlign w:val="center"/>
          </w:tcPr>
          <w:p>
            <w:pPr>
              <w:pStyle w:val="TableContents"/>
              <w:bidi w:val="0"/>
              <w:spacing w:before="0" w:after="283"/>
              <w:jc w:val="both"/>
              <w:rPr/>
            </w:pPr>
            <w:hyperlink w:anchor="a_002">
              <w:r>
                <w:rPr>
                  <w:rStyle w:val="InternetLink"/>
                  <w:sz w:val="20"/>
                </w:rPr>
                <w:t>Item 1. Financial statements</w:t>
              </w:r>
            </w:hyperlink>
          </w:p>
        </w:tc>
        <w:tc>
          <w:tcPr>
            <w:tcW w:w="677" w:type="dxa"/>
            <w:tcBorders/>
            <w:shd w:fill="CCEEFF" w:val="clear"/>
            <w:vAlign w:val="center"/>
          </w:tcPr>
          <w:p>
            <w:pPr>
              <w:pStyle w:val="TableContents"/>
              <w:bidi w:val="0"/>
              <w:spacing w:before="0" w:after="283"/>
              <w:ind w:left="0" w:right="0" w:hanging="180"/>
              <w:jc w:val="center"/>
              <w:rPr>
                <w:sz w:val="20"/>
              </w:rPr>
            </w:pPr>
            <w:r>
              <w:rPr>
                <w:sz w:val="20"/>
              </w:rPr>
              <w:t>2</w:t>
            </w:r>
          </w:p>
        </w:tc>
      </w:tr>
      <w:tr>
        <w:trPr/>
        <w:tc>
          <w:tcPr>
            <w:tcW w:w="9528" w:type="dxa"/>
            <w:tcBorders/>
            <w:vAlign w:val="center"/>
          </w:tcPr>
          <w:p>
            <w:pPr>
              <w:pStyle w:val="TableContents"/>
              <w:bidi w:val="0"/>
              <w:spacing w:before="0" w:after="283"/>
              <w:jc w:val="both"/>
              <w:rPr/>
            </w:pPr>
            <w:r>
              <w:rPr/>
              <w:t> </w:t>
            </w:r>
          </w:p>
        </w:tc>
        <w:tc>
          <w:tcPr>
            <w:tcW w:w="677" w:type="dxa"/>
            <w:tcBorders/>
            <w:vAlign w:val="center"/>
          </w:tcPr>
          <w:p>
            <w:pPr>
              <w:pStyle w:val="TableContents"/>
              <w:bidi w:val="0"/>
              <w:spacing w:before="0" w:after="283"/>
              <w:ind w:left="0" w:right="0" w:hanging="180"/>
              <w:jc w:val="center"/>
              <w:rPr/>
            </w:pPr>
            <w:r>
              <w:rPr/>
              <w:t> </w:t>
            </w:r>
          </w:p>
        </w:tc>
      </w:tr>
      <w:tr>
        <w:trPr/>
        <w:tc>
          <w:tcPr>
            <w:tcW w:w="9528" w:type="dxa"/>
            <w:tcBorders/>
            <w:shd w:fill="CCEEFF" w:val="clear"/>
            <w:vAlign w:val="center"/>
          </w:tcPr>
          <w:p>
            <w:pPr>
              <w:pStyle w:val="TableContents"/>
              <w:bidi w:val="0"/>
              <w:spacing w:before="0" w:after="283"/>
              <w:jc w:val="both"/>
              <w:rPr>
                <w:sz w:val="20"/>
              </w:rPr>
            </w:pPr>
            <w:r>
              <w:rPr>
                <w:sz w:val="20"/>
              </w:rPr>
              <w:t>Condensed Consolidated Financial Statements:</w:t>
            </w:r>
          </w:p>
        </w:tc>
        <w:tc>
          <w:tcPr>
            <w:tcW w:w="677" w:type="dxa"/>
            <w:tcBorders/>
            <w:shd w:fill="CCEEFF" w:val="clear"/>
            <w:vAlign w:val="center"/>
          </w:tcPr>
          <w:p>
            <w:pPr>
              <w:pStyle w:val="TableContents"/>
              <w:bidi w:val="0"/>
              <w:spacing w:before="0" w:after="283"/>
              <w:ind w:left="0" w:right="0" w:hanging="180"/>
              <w:jc w:val="left"/>
              <w:rPr>
                <w:sz w:val="4"/>
                <w:szCs w:val="4"/>
              </w:rPr>
            </w:pPr>
            <w:r>
              <w:rPr>
                <w:sz w:val="4"/>
                <w:szCs w:val="4"/>
              </w:rPr>
            </w:r>
          </w:p>
        </w:tc>
      </w:tr>
      <w:tr>
        <w:trPr/>
        <w:tc>
          <w:tcPr>
            <w:tcW w:w="9528" w:type="dxa"/>
            <w:tcBorders/>
            <w:vAlign w:val="center"/>
          </w:tcPr>
          <w:p>
            <w:pPr>
              <w:pStyle w:val="TableContents"/>
              <w:bidi w:val="0"/>
              <w:spacing w:before="0" w:after="283"/>
              <w:jc w:val="both"/>
              <w:rPr/>
            </w:pPr>
            <w:r>
              <w:rPr/>
              <w:t> </w:t>
            </w:r>
          </w:p>
        </w:tc>
        <w:tc>
          <w:tcPr>
            <w:tcW w:w="677" w:type="dxa"/>
            <w:tcBorders/>
            <w:vAlign w:val="center"/>
          </w:tcPr>
          <w:p>
            <w:pPr>
              <w:pStyle w:val="TableContents"/>
              <w:bidi w:val="0"/>
              <w:spacing w:before="0" w:after="283"/>
              <w:ind w:left="0" w:right="0" w:hanging="180"/>
              <w:jc w:val="center"/>
              <w:rPr/>
            </w:pPr>
            <w:r>
              <w:rPr/>
              <w:t> </w:t>
            </w:r>
          </w:p>
        </w:tc>
      </w:tr>
      <w:tr>
        <w:trPr/>
        <w:tc>
          <w:tcPr>
            <w:tcW w:w="9528" w:type="dxa"/>
            <w:tcBorders/>
            <w:shd w:fill="CCEEFF" w:val="clear"/>
            <w:vAlign w:val="center"/>
          </w:tcPr>
          <w:p>
            <w:pPr>
              <w:pStyle w:val="TableContents"/>
              <w:bidi w:val="0"/>
              <w:spacing w:before="0" w:after="283"/>
              <w:jc w:val="both"/>
              <w:rPr/>
            </w:pPr>
            <w:hyperlink w:anchor="f_001">
              <w:r>
                <w:rPr>
                  <w:rStyle w:val="InternetLink"/>
                  <w:sz w:val="20"/>
                </w:rPr>
                <w:t>Condensed Consolidated Balance Sheets as of June 30, 2026 (unaudited) and December 31, 2025</w:t>
              </w:r>
            </w:hyperlink>
          </w:p>
        </w:tc>
        <w:tc>
          <w:tcPr>
            <w:tcW w:w="677" w:type="dxa"/>
            <w:tcBorders/>
            <w:shd w:fill="CCEEFF" w:val="clear"/>
            <w:vAlign w:val="center"/>
          </w:tcPr>
          <w:p>
            <w:pPr>
              <w:pStyle w:val="TableContents"/>
              <w:bidi w:val="0"/>
              <w:spacing w:before="0" w:after="283"/>
              <w:ind w:left="0" w:right="0" w:hanging="180"/>
              <w:jc w:val="center"/>
              <w:rPr>
                <w:sz w:val="20"/>
              </w:rPr>
            </w:pPr>
            <w:r>
              <w:rPr>
                <w:sz w:val="20"/>
              </w:rPr>
              <w:t>2</w:t>
            </w:r>
          </w:p>
        </w:tc>
      </w:tr>
      <w:tr>
        <w:trPr/>
        <w:tc>
          <w:tcPr>
            <w:tcW w:w="9528" w:type="dxa"/>
            <w:tcBorders/>
            <w:vAlign w:val="center"/>
          </w:tcPr>
          <w:p>
            <w:pPr>
              <w:pStyle w:val="TableContents"/>
              <w:bidi w:val="0"/>
              <w:spacing w:before="0" w:after="283"/>
              <w:jc w:val="both"/>
              <w:rPr/>
            </w:pPr>
            <w:r>
              <w:rPr/>
              <w:t> </w:t>
            </w:r>
          </w:p>
        </w:tc>
        <w:tc>
          <w:tcPr>
            <w:tcW w:w="677" w:type="dxa"/>
            <w:tcBorders/>
            <w:vAlign w:val="center"/>
          </w:tcPr>
          <w:p>
            <w:pPr>
              <w:pStyle w:val="TableContents"/>
              <w:bidi w:val="0"/>
              <w:spacing w:before="0" w:after="283"/>
              <w:ind w:left="0" w:right="0" w:hanging="180"/>
              <w:jc w:val="center"/>
              <w:rPr/>
            </w:pPr>
            <w:r>
              <w:rPr/>
              <w:t> </w:t>
            </w:r>
          </w:p>
        </w:tc>
      </w:tr>
      <w:tr>
        <w:trPr/>
        <w:tc>
          <w:tcPr>
            <w:tcW w:w="9528" w:type="dxa"/>
            <w:tcBorders/>
            <w:shd w:fill="CCEEFF" w:val="clear"/>
            <w:vAlign w:val="center"/>
          </w:tcPr>
          <w:p>
            <w:pPr>
              <w:pStyle w:val="TableContents"/>
              <w:bidi w:val="0"/>
              <w:spacing w:before="0" w:after="283"/>
              <w:jc w:val="both"/>
              <w:rPr/>
            </w:pPr>
            <w:hyperlink w:anchor="f_002">
              <w:r>
                <w:rPr>
                  <w:rStyle w:val="InternetLink"/>
                  <w:sz w:val="20"/>
                </w:rPr>
                <w:t>Condensed Consolidated Statements of Operations for the three and six months ended June 30, 2026 and 2025 (unaudited)</w:t>
              </w:r>
            </w:hyperlink>
          </w:p>
        </w:tc>
        <w:tc>
          <w:tcPr>
            <w:tcW w:w="677" w:type="dxa"/>
            <w:tcBorders/>
            <w:shd w:fill="CCEEFF" w:val="clear"/>
            <w:vAlign w:val="center"/>
          </w:tcPr>
          <w:p>
            <w:pPr>
              <w:pStyle w:val="TableContents"/>
              <w:bidi w:val="0"/>
              <w:spacing w:before="0" w:after="283"/>
              <w:ind w:left="0" w:right="0" w:hanging="180"/>
              <w:jc w:val="center"/>
              <w:rPr>
                <w:sz w:val="20"/>
              </w:rPr>
            </w:pPr>
            <w:r>
              <w:rPr>
                <w:sz w:val="20"/>
              </w:rPr>
              <w:t>3</w:t>
            </w:r>
          </w:p>
        </w:tc>
      </w:tr>
      <w:tr>
        <w:trPr/>
        <w:tc>
          <w:tcPr>
            <w:tcW w:w="9528" w:type="dxa"/>
            <w:tcBorders/>
            <w:vAlign w:val="center"/>
          </w:tcPr>
          <w:p>
            <w:pPr>
              <w:pStyle w:val="TableContents"/>
              <w:bidi w:val="0"/>
              <w:spacing w:before="0" w:after="283"/>
              <w:jc w:val="both"/>
              <w:rPr/>
            </w:pPr>
            <w:r>
              <w:rPr/>
              <w:t> </w:t>
            </w:r>
          </w:p>
        </w:tc>
        <w:tc>
          <w:tcPr>
            <w:tcW w:w="677" w:type="dxa"/>
            <w:tcBorders/>
            <w:vAlign w:val="center"/>
          </w:tcPr>
          <w:p>
            <w:pPr>
              <w:pStyle w:val="TableContents"/>
              <w:bidi w:val="0"/>
              <w:spacing w:before="0" w:after="283"/>
              <w:ind w:left="0" w:right="0" w:hanging="180"/>
              <w:jc w:val="center"/>
              <w:rPr/>
            </w:pPr>
            <w:r>
              <w:rPr/>
              <w:t> </w:t>
            </w:r>
          </w:p>
        </w:tc>
      </w:tr>
      <w:tr>
        <w:trPr/>
        <w:tc>
          <w:tcPr>
            <w:tcW w:w="9528" w:type="dxa"/>
            <w:tcBorders/>
            <w:shd w:fill="CCEEFF" w:val="clear"/>
            <w:vAlign w:val="center"/>
          </w:tcPr>
          <w:p>
            <w:pPr>
              <w:pStyle w:val="TableContents"/>
              <w:bidi w:val="0"/>
              <w:spacing w:before="0" w:after="283"/>
              <w:jc w:val="both"/>
              <w:rPr/>
            </w:pPr>
            <w:hyperlink w:anchor="f_003">
              <w:r>
                <w:rPr>
                  <w:rStyle w:val="InternetLink"/>
                  <w:sz w:val="20"/>
                </w:rPr>
                <w:t>Condensed Consolidated Statements of Changes in Stockholders’ Equity for the three and six months ended June 30, 2026 and 2025 (unaudited)</w:t>
              </w:r>
            </w:hyperlink>
          </w:p>
        </w:tc>
        <w:tc>
          <w:tcPr>
            <w:tcW w:w="677" w:type="dxa"/>
            <w:tcBorders/>
            <w:shd w:fill="CCEEFF" w:val="clear"/>
            <w:vAlign w:val="center"/>
          </w:tcPr>
          <w:p>
            <w:pPr>
              <w:pStyle w:val="TableContents"/>
              <w:bidi w:val="0"/>
              <w:spacing w:before="0" w:after="283"/>
              <w:ind w:left="0" w:right="0" w:hanging="180"/>
              <w:jc w:val="center"/>
              <w:rPr>
                <w:sz w:val="20"/>
              </w:rPr>
            </w:pPr>
            <w:r>
              <w:rPr>
                <w:sz w:val="20"/>
              </w:rPr>
              <w:t>4</w:t>
            </w:r>
          </w:p>
        </w:tc>
      </w:tr>
      <w:tr>
        <w:trPr/>
        <w:tc>
          <w:tcPr>
            <w:tcW w:w="9528" w:type="dxa"/>
            <w:tcBorders/>
            <w:vAlign w:val="center"/>
          </w:tcPr>
          <w:p>
            <w:pPr>
              <w:pStyle w:val="TableContents"/>
              <w:bidi w:val="0"/>
              <w:spacing w:before="0" w:after="283"/>
              <w:jc w:val="both"/>
              <w:rPr/>
            </w:pPr>
            <w:r>
              <w:rPr/>
              <w:t> </w:t>
            </w:r>
          </w:p>
        </w:tc>
        <w:tc>
          <w:tcPr>
            <w:tcW w:w="677" w:type="dxa"/>
            <w:tcBorders/>
            <w:vAlign w:val="center"/>
          </w:tcPr>
          <w:p>
            <w:pPr>
              <w:pStyle w:val="TableContents"/>
              <w:bidi w:val="0"/>
              <w:spacing w:before="0" w:after="283"/>
              <w:ind w:left="0" w:right="0" w:hanging="180"/>
              <w:jc w:val="center"/>
              <w:rPr/>
            </w:pPr>
            <w:r>
              <w:rPr/>
              <w:t> </w:t>
            </w:r>
          </w:p>
        </w:tc>
      </w:tr>
      <w:tr>
        <w:trPr/>
        <w:tc>
          <w:tcPr>
            <w:tcW w:w="9528" w:type="dxa"/>
            <w:tcBorders/>
            <w:shd w:fill="CCEEFF" w:val="clear"/>
            <w:vAlign w:val="center"/>
          </w:tcPr>
          <w:p>
            <w:pPr>
              <w:pStyle w:val="TableContents"/>
              <w:bidi w:val="0"/>
              <w:spacing w:before="0" w:after="283"/>
              <w:jc w:val="both"/>
              <w:rPr/>
            </w:pPr>
            <w:hyperlink w:anchor="f_004">
              <w:r>
                <w:rPr>
                  <w:rStyle w:val="InternetLink"/>
                  <w:sz w:val="20"/>
                </w:rPr>
                <w:t>Condensed Consolidated Statements of Cash Flows for the six months ended June 30, 2026 and 2025 (unaudited)</w:t>
              </w:r>
            </w:hyperlink>
          </w:p>
        </w:tc>
        <w:tc>
          <w:tcPr>
            <w:tcW w:w="677" w:type="dxa"/>
            <w:tcBorders/>
            <w:shd w:fill="CCEEFF" w:val="clear"/>
            <w:vAlign w:val="center"/>
          </w:tcPr>
          <w:p>
            <w:pPr>
              <w:pStyle w:val="TableContents"/>
              <w:bidi w:val="0"/>
              <w:spacing w:before="0" w:after="283"/>
              <w:ind w:left="0" w:right="0" w:hanging="180"/>
              <w:jc w:val="center"/>
              <w:rPr>
                <w:sz w:val="20"/>
              </w:rPr>
            </w:pPr>
            <w:r>
              <w:rPr>
                <w:sz w:val="20"/>
              </w:rPr>
              <w:t>5</w:t>
            </w:r>
          </w:p>
        </w:tc>
      </w:tr>
      <w:tr>
        <w:trPr/>
        <w:tc>
          <w:tcPr>
            <w:tcW w:w="9528" w:type="dxa"/>
            <w:tcBorders/>
            <w:vAlign w:val="center"/>
          </w:tcPr>
          <w:p>
            <w:pPr>
              <w:pStyle w:val="TableContents"/>
              <w:bidi w:val="0"/>
              <w:spacing w:before="0" w:after="283"/>
              <w:jc w:val="both"/>
              <w:rPr/>
            </w:pPr>
            <w:r>
              <w:rPr/>
              <w:t> </w:t>
            </w:r>
          </w:p>
        </w:tc>
        <w:tc>
          <w:tcPr>
            <w:tcW w:w="677" w:type="dxa"/>
            <w:tcBorders/>
            <w:vAlign w:val="center"/>
          </w:tcPr>
          <w:p>
            <w:pPr>
              <w:pStyle w:val="TableContents"/>
              <w:bidi w:val="0"/>
              <w:spacing w:before="0" w:after="283"/>
              <w:ind w:left="0" w:right="0" w:hanging="180"/>
              <w:jc w:val="center"/>
              <w:rPr/>
            </w:pPr>
            <w:r>
              <w:rPr/>
              <w:t> </w:t>
            </w:r>
          </w:p>
        </w:tc>
      </w:tr>
      <w:tr>
        <w:trPr/>
        <w:tc>
          <w:tcPr>
            <w:tcW w:w="9528" w:type="dxa"/>
            <w:tcBorders/>
            <w:shd w:fill="CCEEFF" w:val="clear"/>
            <w:vAlign w:val="center"/>
          </w:tcPr>
          <w:p>
            <w:pPr>
              <w:pStyle w:val="TableContents"/>
              <w:bidi w:val="0"/>
              <w:spacing w:before="0" w:after="283"/>
              <w:jc w:val="both"/>
              <w:rPr/>
            </w:pPr>
            <w:hyperlink w:anchor="f_005">
              <w:r>
                <w:rPr>
                  <w:rStyle w:val="InternetLink"/>
                  <w:sz w:val="20"/>
                </w:rPr>
                <w:t>Notes to Condensed Consolidated Financial Statements (unaudited)</w:t>
              </w:r>
            </w:hyperlink>
          </w:p>
        </w:tc>
        <w:tc>
          <w:tcPr>
            <w:tcW w:w="677" w:type="dxa"/>
            <w:tcBorders/>
            <w:shd w:fill="CCEEFF" w:val="clear"/>
            <w:vAlign w:val="center"/>
          </w:tcPr>
          <w:p>
            <w:pPr>
              <w:pStyle w:val="TableContents"/>
              <w:bidi w:val="0"/>
              <w:spacing w:before="0" w:after="283"/>
              <w:jc w:val="center"/>
              <w:rPr>
                <w:sz w:val="20"/>
              </w:rPr>
            </w:pPr>
            <w:r>
              <w:rPr>
                <w:sz w:val="20"/>
              </w:rPr>
              <w:t>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f_001"/>
      <w:bookmarkEnd w:id="4"/>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8999" w:type="dxa"/>
        <w:jc w:val="left"/>
        <w:tblInd w:w="0" w:type="dxa"/>
        <w:tblLayout w:type="fixed"/>
        <w:tblCellMar>
          <w:top w:w="0" w:type="dxa"/>
          <w:left w:w="0" w:type="dxa"/>
          <w:bottom w:w="0" w:type="dxa"/>
          <w:right w:w="0" w:type="dxa"/>
        </w:tblCellMar>
      </w:tblPr>
      <w:tblGrid>
        <w:gridCol w:w="5945"/>
        <w:gridCol w:w="60"/>
        <w:gridCol w:w="140"/>
        <w:gridCol w:w="1175"/>
        <w:gridCol w:w="95"/>
        <w:gridCol w:w="60"/>
        <w:gridCol w:w="150"/>
        <w:gridCol w:w="1264"/>
        <w:gridCol w:w="110"/>
      </w:tblGrid>
      <w:tr>
        <w:trPr/>
        <w:tc>
          <w:tcPr>
            <w:tcW w:w="594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ind w:left="0" w:right="0" w:hanging="180"/>
              <w:jc w:val="left"/>
              <w:rPr/>
            </w:pPr>
            <w:r>
              <w:rPr/>
              <w:t> </w:t>
            </w:r>
          </w:p>
        </w:tc>
      </w:tr>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5945"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594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694,000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680,000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3,930,000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of $554,000 and $464,000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7,164,000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7,071,000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36,699,000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34,261,000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766,000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Prepaid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76,000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49,036,000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46,784,000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8,559,000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9,501,000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Finance Lease Right-Of-Use-Assets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916,000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Operating Lease Right-Of-Use-Assets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514,000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Deferred Financing Costs, Net, Deposits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614,000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59,216,000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4" w:type="dxa"/>
            <w:tcBorders>
              <w:bottom w:val="double" w:sz="10" w:space="0" w:color="000000"/>
            </w:tcBorders>
            <w:shd w:fill="CCEEFF" w:val="clear"/>
            <w:tcMar>
              <w:bottom w:w="28" w:type="dxa"/>
            </w:tcMar>
            <w:vAlign w:val="center"/>
          </w:tcPr>
          <w:p>
            <w:pPr>
              <w:pStyle w:val="TableContents"/>
              <w:bidi w:val="0"/>
              <w:spacing w:before="0" w:after="283"/>
              <w:jc w:val="right"/>
              <w:rPr/>
            </w:pPr>
            <w:r>
              <w:rPr/>
              <w:t>58,329,000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24,217,000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23,721,000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6,893,000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7,903,000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Subordinated Notes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4,871,000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702,000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Deferred Gain on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28,000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3,464,000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391,000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39,693,000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37,616,000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Long 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1,512,000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41,114,000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39,128,000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Commitments and Contingencies (see Note 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Preferred Stock - par value $.001 - Authorized 3,000,000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shares, 0 shares outstanding, at both June 30, 2026 and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Common Stock - Par Value $.001 - Authorized 6,000,000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shares, 4,850,658 and 4,776,454 shares issued and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5,000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90,375,000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89,608,000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(72,278,000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(70,412,000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945"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18,102,000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19,201,000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45"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59,216,000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4" w:type="dxa"/>
            <w:tcBorders>
              <w:bottom w:val="double" w:sz="10" w:space="0" w:color="000000"/>
            </w:tcBorders>
            <w:shd w:fill="CCEEFF" w:val="clear"/>
            <w:tcMar>
              <w:bottom w:w="28" w:type="dxa"/>
            </w:tcMar>
            <w:vAlign w:val="center"/>
          </w:tcPr>
          <w:p>
            <w:pPr>
              <w:pStyle w:val="TableContents"/>
              <w:bidi w:val="0"/>
              <w:spacing w:before="0" w:after="283"/>
              <w:jc w:val="right"/>
              <w:rPr/>
            </w:pPr>
            <w:r>
              <w:rPr/>
              <w:t>58,329,000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f_002"/>
      <w:bookmarkEnd w:id="5"/>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Three and Six Months Ended June 30,</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7"/>
        <w:gridCol w:w="60"/>
        <w:gridCol w:w="140"/>
        <w:gridCol w:w="1100"/>
        <w:gridCol w:w="95"/>
        <w:gridCol w:w="60"/>
        <w:gridCol w:w="140"/>
        <w:gridCol w:w="1100"/>
        <w:gridCol w:w="95"/>
        <w:gridCol w:w="60"/>
        <w:gridCol w:w="140"/>
        <w:gridCol w:w="1100"/>
        <w:gridCol w:w="95"/>
        <w:gridCol w:w="60"/>
        <w:gridCol w:w="140"/>
        <w:gridCol w:w="1100"/>
        <w:gridCol w:w="103"/>
      </w:tblGrid>
      <w:tr>
        <w:trPr/>
        <w:tc>
          <w:tcPr>
            <w:tcW w:w="461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Six Months Ended</w:t>
            </w:r>
          </w:p>
        </w:tc>
        <w:tc>
          <w:tcPr>
            <w:tcW w:w="103" w:type="dxa"/>
            <w:tcBorders/>
            <w:vAlign w:val="center"/>
          </w:tcPr>
          <w:p>
            <w:pPr>
              <w:pStyle w:val="TableContents"/>
              <w:bidi w:val="0"/>
              <w:spacing w:before="0" w:after="283"/>
              <w:ind w:left="0" w:right="0" w:hanging="180"/>
              <w:jc w:val="left"/>
              <w:rPr/>
            </w:pPr>
            <w:r>
              <w:rPr/>
              <w:t> </w:t>
            </w:r>
          </w:p>
        </w:tc>
      </w:tr>
      <w:tr>
        <w:trPr/>
        <w:tc>
          <w:tcPr>
            <w:tcW w:w="46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03" w:type="dxa"/>
            <w:tcBorders/>
            <w:vAlign w:val="center"/>
          </w:tcPr>
          <w:p>
            <w:pPr>
              <w:pStyle w:val="TableContents"/>
              <w:bidi w:val="0"/>
              <w:spacing w:before="0" w:after="283"/>
              <w:ind w:left="0" w:right="0" w:hanging="180"/>
              <w:jc w:val="left"/>
              <w:rPr/>
            </w:pPr>
            <w:r>
              <w:rPr/>
              <w:t> </w:t>
            </w:r>
          </w:p>
        </w:tc>
      </w:tr>
      <w:tr>
        <w:trPr/>
        <w:tc>
          <w:tcPr>
            <w:tcW w:w="46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3" w:type="dxa"/>
            <w:tcBorders/>
            <w:vAlign w:val="center"/>
          </w:tcPr>
          <w:p>
            <w:pPr>
              <w:pStyle w:val="TableContents"/>
              <w:bidi w:val="0"/>
              <w:spacing w:before="0" w:after="283"/>
              <w:ind w:left="0" w:right="0" w:hanging="180"/>
              <w:jc w:val="left"/>
              <w:rPr/>
            </w:pPr>
            <w:r>
              <w:rPr/>
              <w:t> </w:t>
            </w:r>
          </w:p>
        </w:tc>
      </w:tr>
      <w:tr>
        <w:trPr/>
        <w:tc>
          <w:tcPr>
            <w:tcW w:w="46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180"/>
              <w:jc w:val="left"/>
              <w:rPr/>
            </w:pPr>
            <w:r>
              <w:rPr/>
              <w:t> </w:t>
            </w:r>
          </w:p>
        </w:tc>
      </w:tr>
      <w:tr>
        <w:trPr/>
        <w:tc>
          <w:tcPr>
            <w:tcW w:w="4617"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11,995,000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12,659,000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23,601,000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24,802,000</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46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4617"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9,512,000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10,631,000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18,516,000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20,740,000</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46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4617"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2,483,000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4,062,000</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46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4617"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2,849,000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6,016,000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4,800,000</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46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4617" w:type="dxa"/>
            <w:tcBorders/>
            <w:shd w:fill="CCEEFF" w:val="clear"/>
            <w:vAlign w:val="center"/>
          </w:tcPr>
          <w:p>
            <w:pPr>
              <w:pStyle w:val="TableContents"/>
              <w:bidi w:val="0"/>
              <w:spacing w:before="0" w:after="283"/>
              <w:jc w:val="left"/>
              <w:rPr/>
            </w:pPr>
            <w:r>
              <w:rPr/>
              <w:t>(Loss) Income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(931,000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(738,000</w:t>
            </w:r>
          </w:p>
        </w:tc>
        <w:tc>
          <w:tcPr>
            <w:tcW w:w="103" w:type="dxa"/>
            <w:tcBorders/>
            <w:shd w:fill="CCEEFF" w:val="clear"/>
            <w:vAlign w:val="center"/>
          </w:tcPr>
          <w:p>
            <w:pPr>
              <w:pStyle w:val="TableContents"/>
              <w:bidi w:val="0"/>
              <w:spacing w:before="0" w:after="283"/>
              <w:ind w:left="0" w:right="0" w:hanging="180"/>
              <w:jc w:val="left"/>
              <w:rPr/>
            </w:pPr>
            <w:r>
              <w:rPr/>
              <w:t>)</w:t>
            </w:r>
          </w:p>
        </w:tc>
      </w:tr>
      <w:tr>
        <w:trPr/>
        <w:tc>
          <w:tcPr>
            <w:tcW w:w="46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4617"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(705,000</w:t>
            </w:r>
          </w:p>
        </w:tc>
        <w:tc>
          <w:tcPr>
            <w:tcW w:w="103" w:type="dxa"/>
            <w:tcBorders/>
            <w:shd w:fill="CCEEFF" w:val="clear"/>
            <w:vAlign w:val="center"/>
          </w:tcPr>
          <w:p>
            <w:pPr>
              <w:pStyle w:val="TableContents"/>
              <w:bidi w:val="0"/>
              <w:spacing w:before="0" w:after="283"/>
              <w:ind w:left="0" w:right="0" w:hanging="180"/>
              <w:jc w:val="left"/>
              <w:rPr/>
            </w:pPr>
            <w:r>
              <w:rPr/>
              <w:t>)</w:t>
            </w:r>
          </w:p>
        </w:tc>
      </w:tr>
      <w:tr>
        <w:trPr/>
        <w:tc>
          <w:tcPr>
            <w:tcW w:w="46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4617" w:type="dxa"/>
            <w:tcBorders/>
            <w:shd w:fill="CCEEFF" w:val="clear"/>
            <w:vAlign w:val="center"/>
          </w:tcPr>
          <w:p>
            <w:pPr>
              <w:pStyle w:val="TableContents"/>
              <w:bidi w:val="0"/>
              <w:spacing w:before="0" w:after="283"/>
              <w:jc w:val="left"/>
              <w:rPr/>
            </w:pPr>
            <w:r>
              <w:rPr/>
              <w:t>Interest Expense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(185,000</w:t>
            </w:r>
          </w:p>
        </w:tc>
        <w:tc>
          <w:tcPr>
            <w:tcW w:w="103" w:type="dxa"/>
            <w:tcBorders/>
            <w:shd w:fill="CCEEFF" w:val="clear"/>
            <w:vAlign w:val="center"/>
          </w:tcPr>
          <w:p>
            <w:pPr>
              <w:pStyle w:val="TableContents"/>
              <w:bidi w:val="0"/>
              <w:spacing w:before="0" w:after="283"/>
              <w:ind w:left="0" w:right="0" w:hanging="180"/>
              <w:jc w:val="left"/>
              <w:rPr/>
            </w:pPr>
            <w:r>
              <w:rPr/>
              <w:t>)</w:t>
            </w:r>
          </w:p>
        </w:tc>
      </w:tr>
      <w:tr>
        <w:trPr/>
        <w:tc>
          <w:tcPr>
            <w:tcW w:w="46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4617"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218,000</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46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4617"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(1,848,000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(1,410,000</w:t>
            </w:r>
          </w:p>
        </w:tc>
        <w:tc>
          <w:tcPr>
            <w:tcW w:w="103" w:type="dxa"/>
            <w:tcBorders/>
            <w:shd w:fill="CCEEFF" w:val="clear"/>
            <w:vAlign w:val="center"/>
          </w:tcPr>
          <w:p>
            <w:pPr>
              <w:pStyle w:val="TableContents"/>
              <w:bidi w:val="0"/>
              <w:spacing w:before="0" w:after="283"/>
              <w:ind w:left="0" w:right="0" w:hanging="180"/>
              <w:jc w:val="left"/>
              <w:rPr/>
            </w:pPr>
            <w:r>
              <w:rPr/>
              <w:t>)</w:t>
            </w:r>
          </w:p>
        </w:tc>
      </w:tr>
      <w:tr>
        <w:trPr/>
        <w:tc>
          <w:tcPr>
            <w:tcW w:w="46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4617"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46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461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(846,000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(422,000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(1,866,000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(1,410,000</w:t>
            </w:r>
          </w:p>
        </w:tc>
        <w:tc>
          <w:tcPr>
            <w:tcW w:w="103" w:type="dxa"/>
            <w:tcBorders/>
            <w:shd w:fill="CCEEFF" w:val="clear"/>
            <w:vAlign w:val="center"/>
          </w:tcPr>
          <w:p>
            <w:pPr>
              <w:pStyle w:val="TableContents"/>
              <w:bidi w:val="0"/>
              <w:spacing w:before="0" w:after="283"/>
              <w:ind w:left="0" w:right="0" w:hanging="180"/>
              <w:jc w:val="left"/>
              <w:rPr/>
            </w:pPr>
            <w:r>
              <w:rPr/>
              <w:t>)</w:t>
            </w:r>
          </w:p>
        </w:tc>
      </w:tr>
      <w:tr>
        <w:trPr/>
        <w:tc>
          <w:tcPr>
            <w:tcW w:w="46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4617" w:type="dxa"/>
            <w:tcBorders/>
            <w:shd w:fill="CCEEFF" w:val="clear"/>
            <w:vAlign w:val="center"/>
          </w:tcPr>
          <w:p>
            <w:pPr>
              <w:pStyle w:val="TableContents"/>
              <w:bidi w:val="0"/>
              <w:spacing w:before="0" w:after="283"/>
              <w:jc w:val="left"/>
              <w:rPr/>
            </w:pPr>
            <w:r>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(0.38</w:t>
            </w:r>
          </w:p>
        </w:tc>
        <w:tc>
          <w:tcPr>
            <w:tcW w:w="103" w:type="dxa"/>
            <w:tcBorders/>
            <w:shd w:fill="CCEEFF" w:val="clear"/>
            <w:vAlign w:val="center"/>
          </w:tcPr>
          <w:p>
            <w:pPr>
              <w:pStyle w:val="TableContents"/>
              <w:bidi w:val="0"/>
              <w:spacing w:before="0" w:after="283"/>
              <w:ind w:left="0" w:right="0" w:hanging="180"/>
              <w:jc w:val="left"/>
              <w:rPr/>
            </w:pPr>
            <w:r>
              <w:rPr/>
              <w:t>)</w:t>
            </w:r>
          </w:p>
        </w:tc>
      </w:tr>
      <w:tr>
        <w:trPr/>
        <w:tc>
          <w:tcPr>
            <w:tcW w:w="46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4617" w:type="dxa"/>
            <w:tcBorders/>
            <w:shd w:fill="CCEEFF" w:val="clear"/>
            <w:vAlign w:val="center"/>
          </w:tcPr>
          <w:p>
            <w:pPr>
              <w:pStyle w:val="TableContents"/>
              <w:bidi w:val="0"/>
              <w:spacing w:before="0" w:after="283"/>
              <w:jc w:val="left"/>
              <w:rPr/>
            </w:pPr>
            <w:r>
              <w:rPr/>
              <w:t>Weighted Average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4,809,394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3,731,335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4,807,335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3,699,084</w:t>
            </w:r>
          </w:p>
        </w:tc>
        <w:tc>
          <w:tcPr>
            <w:tcW w:w="10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f_003"/>
      <w:bookmarkEnd w:id="6"/>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Stockholders’ Equity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1"/>
        <w:gridCol w:w="60"/>
        <w:gridCol w:w="60"/>
        <w:gridCol w:w="980"/>
        <w:gridCol w:w="60"/>
        <w:gridCol w:w="60"/>
        <w:gridCol w:w="172"/>
        <w:gridCol w:w="688"/>
        <w:gridCol w:w="60"/>
        <w:gridCol w:w="60"/>
        <w:gridCol w:w="140"/>
        <w:gridCol w:w="1100"/>
        <w:gridCol w:w="95"/>
        <w:gridCol w:w="60"/>
        <w:gridCol w:w="145"/>
        <w:gridCol w:w="1225"/>
        <w:gridCol w:w="95"/>
        <w:gridCol w:w="60"/>
        <w:gridCol w:w="154"/>
        <w:gridCol w:w="1218"/>
        <w:gridCol w:w="92"/>
      </w:tblGrid>
      <w:tr>
        <w:trPr/>
        <w:tc>
          <w:tcPr>
            <w:tcW w:w="362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2"/>
            <w:tcBorders/>
            <w:vAlign w:val="center"/>
          </w:tcPr>
          <w:p>
            <w:pPr>
              <w:pStyle w:val="TableContents"/>
              <w:bidi w:val="0"/>
              <w:spacing w:before="0" w:after="283"/>
              <w:jc w:val="center"/>
              <w:rPr>
                <w:b/>
              </w:rPr>
            </w:pPr>
            <w:r>
              <w:rPr>
                <w:b/>
              </w:rPr>
              <w:t>Total</w:t>
            </w:r>
          </w:p>
        </w:tc>
        <w:tc>
          <w:tcPr>
            <w:tcW w:w="92" w:type="dxa"/>
            <w:tcBorders/>
            <w:vAlign w:val="center"/>
          </w:tcPr>
          <w:p>
            <w:pPr>
              <w:pStyle w:val="TableContents"/>
              <w:bidi w:val="0"/>
              <w:spacing w:before="0" w:after="283"/>
              <w:ind w:left="0" w:right="0" w:hanging="180"/>
              <w:jc w:val="left"/>
              <w:rPr/>
            </w:pPr>
            <w:r>
              <w:rPr/>
              <w:t> </w:t>
            </w:r>
          </w:p>
        </w:tc>
      </w:tr>
      <w:tr>
        <w:trPr/>
        <w:tc>
          <w:tcPr>
            <w:tcW w:w="3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Stockholders’</w:t>
            </w:r>
          </w:p>
        </w:tc>
        <w:tc>
          <w:tcPr>
            <w:tcW w:w="92" w:type="dxa"/>
            <w:tcBorders/>
            <w:vAlign w:val="center"/>
          </w:tcPr>
          <w:p>
            <w:pPr>
              <w:pStyle w:val="TableContents"/>
              <w:bidi w:val="0"/>
              <w:spacing w:before="0" w:after="283"/>
              <w:ind w:left="0" w:right="0" w:hanging="180"/>
              <w:jc w:val="left"/>
              <w:rPr/>
            </w:pPr>
            <w:r>
              <w:rPr/>
              <w:t> </w:t>
            </w:r>
          </w:p>
        </w:tc>
      </w:tr>
      <w:tr>
        <w:trPr/>
        <w:tc>
          <w:tcPr>
            <w:tcW w:w="3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92" w:type="dxa"/>
            <w:tcBorders/>
            <w:vAlign w:val="center"/>
          </w:tcPr>
          <w:p>
            <w:pPr>
              <w:pStyle w:val="TableContents"/>
              <w:bidi w:val="0"/>
              <w:spacing w:before="0" w:after="283"/>
              <w:ind w:left="0" w:right="0" w:hanging="180"/>
              <w:jc w:val="left"/>
              <w:rPr/>
            </w:pPr>
            <w:r>
              <w:rPr/>
              <w:t> </w:t>
            </w:r>
          </w:p>
        </w:tc>
      </w:tr>
      <w:tr>
        <w:trPr/>
        <w:tc>
          <w:tcPr>
            <w:tcW w:w="3621" w:type="dxa"/>
            <w:tcBorders/>
            <w:shd w:fill="CCEEFF" w:val="clear"/>
            <w:vAlign w:val="center"/>
          </w:tcPr>
          <w:p>
            <w:pPr>
              <w:pStyle w:val="TableContents"/>
              <w:bidi w:val="0"/>
              <w:spacing w:before="0" w:after="283"/>
              <w:jc w:val="left"/>
              <w:rPr/>
            </w:pPr>
            <w:r>
              <w:rPr/>
              <w:t>Balance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4,776,454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89,608,000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(70,412,000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19,201,000</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621" w:type="dxa"/>
            <w:tcBorders/>
            <w:shd w:fill="FFFFFF" w:val="clear"/>
            <w:vAlign w:val="center"/>
          </w:tcPr>
          <w:p>
            <w:pPr>
              <w:pStyle w:val="TableContents"/>
              <w:bidi w:val="0"/>
              <w:spacing w:before="0" w:after="283"/>
              <w:jc w:val="left"/>
              <w:rPr/>
            </w:pPr>
            <w:r>
              <w:rPr/>
              <w:t>Common Stock issued to directors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14,000</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62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950,000</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62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(1,020,000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8" w:type="dxa"/>
            <w:tcBorders>
              <w:bottom w:val="single" w:sz="12" w:space="0" w:color="000000"/>
            </w:tcBorders>
            <w:shd w:fill="FFFFFF" w:val="clear"/>
            <w:tcMar>
              <w:bottom w:w="28" w:type="dxa"/>
            </w:tcMar>
            <w:vAlign w:val="center"/>
          </w:tcPr>
          <w:p>
            <w:pPr>
              <w:pStyle w:val="TableContents"/>
              <w:bidi w:val="0"/>
              <w:spacing w:before="0" w:after="283"/>
              <w:jc w:val="right"/>
              <w:rPr/>
            </w:pPr>
            <w:r>
              <w:rPr/>
              <w:t>(1,020,000</w:t>
            </w:r>
          </w:p>
        </w:tc>
        <w:tc>
          <w:tcPr>
            <w:tcW w:w="92" w:type="dxa"/>
            <w:tcBorders/>
            <w:shd w:fill="FFFFFF" w:val="clear"/>
            <w:vAlign w:val="center"/>
          </w:tcPr>
          <w:p>
            <w:pPr>
              <w:pStyle w:val="TableContents"/>
              <w:bidi w:val="0"/>
              <w:spacing w:before="0" w:after="283"/>
              <w:ind w:left="0" w:right="0" w:hanging="180"/>
              <w:jc w:val="left"/>
              <w:rPr/>
            </w:pPr>
            <w:r>
              <w:rPr/>
              <w:t>)</w:t>
            </w:r>
          </w:p>
        </w:tc>
      </w:tr>
      <w:tr>
        <w:trPr/>
        <w:tc>
          <w:tcPr>
            <w:tcW w:w="3621" w:type="dxa"/>
            <w:tcBorders/>
            <w:shd w:fill="CCEEFF" w:val="clear"/>
            <w:vAlign w:val="center"/>
          </w:tcPr>
          <w:p>
            <w:pPr>
              <w:pStyle w:val="TableContents"/>
              <w:bidi w:val="0"/>
              <w:spacing w:before="0" w:after="283"/>
              <w:jc w:val="left"/>
              <w:rPr/>
            </w:pPr>
            <w:r>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4,781,054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90,572,000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(71,432,000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18" w:type="dxa"/>
            <w:tcBorders>
              <w:bottom w:val="single" w:sz="12" w:space="0" w:color="000000"/>
            </w:tcBorders>
            <w:shd w:fill="CCEEFF" w:val="clear"/>
            <w:tcMar>
              <w:bottom w:w="28" w:type="dxa"/>
            </w:tcMar>
            <w:vAlign w:val="center"/>
          </w:tcPr>
          <w:p>
            <w:pPr>
              <w:pStyle w:val="TableContents"/>
              <w:bidi w:val="0"/>
              <w:spacing w:before="0" w:after="283"/>
              <w:jc w:val="right"/>
              <w:rPr/>
            </w:pPr>
            <w:r>
              <w:rPr/>
              <w:t>19,145,000</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6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621" w:type="dxa"/>
            <w:tcBorders/>
            <w:shd w:fill="CCEEFF" w:val="clear"/>
            <w:vAlign w:val="center"/>
          </w:tcPr>
          <w:p>
            <w:pPr>
              <w:pStyle w:val="TableContents"/>
              <w:bidi w:val="0"/>
              <w:spacing w:before="0" w:after="283"/>
              <w:jc w:val="left"/>
              <w:rPr/>
            </w:pPr>
            <w:r>
              <w:rPr/>
              <w:t>Common Stock issued to directors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14,000</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621"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45,000</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621" w:type="dxa"/>
            <w:tcBorders/>
            <w:shd w:fill="CCEEFF" w:val="clear"/>
            <w:vAlign w:val="center"/>
          </w:tcPr>
          <w:p>
            <w:pPr>
              <w:pStyle w:val="TableContents"/>
              <w:bidi w:val="0"/>
              <w:spacing w:before="0" w:after="283"/>
              <w:jc w:val="left"/>
              <w:rPr/>
            </w:pPr>
            <w:r>
              <w:rPr/>
              <w:t>Stock-Based Compensation forfeiture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(125,000</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3621" w:type="dxa"/>
            <w:tcBorders/>
            <w:shd w:fill="FFFFFF" w:val="clear"/>
            <w:vAlign w:val="center"/>
          </w:tcPr>
          <w:p>
            <w:pPr>
              <w:pStyle w:val="TableContents"/>
              <w:bidi w:val="0"/>
              <w:spacing w:before="0" w:after="283"/>
              <w:jc w:val="left"/>
              <w:rPr/>
            </w:pPr>
            <w:r>
              <w:rPr/>
              <w:t>Common Stock issued upon settlement of restricted stock units,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(131,000</w:t>
            </w:r>
          </w:p>
        </w:tc>
        <w:tc>
          <w:tcPr>
            <w:tcW w:w="92" w:type="dxa"/>
            <w:tcBorders/>
            <w:shd w:fill="FFFFFF" w:val="clear"/>
            <w:vAlign w:val="center"/>
          </w:tcPr>
          <w:p>
            <w:pPr>
              <w:pStyle w:val="TableContents"/>
              <w:bidi w:val="0"/>
              <w:spacing w:before="0" w:after="283"/>
              <w:ind w:left="0" w:right="0" w:hanging="180"/>
              <w:jc w:val="left"/>
              <w:rPr/>
            </w:pPr>
            <w:r>
              <w:rPr/>
              <w:t>)</w:t>
            </w:r>
          </w:p>
        </w:tc>
      </w:tr>
      <w:tr>
        <w:trPr/>
        <w:tc>
          <w:tcPr>
            <w:tcW w:w="362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(846,000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single" w:sz="12" w:space="0" w:color="000000"/>
            </w:tcBorders>
            <w:shd w:fill="CCEEFF" w:val="clear"/>
            <w:tcMar>
              <w:bottom w:w="28" w:type="dxa"/>
            </w:tcMar>
            <w:vAlign w:val="center"/>
          </w:tcPr>
          <w:p>
            <w:pPr>
              <w:pStyle w:val="TableContents"/>
              <w:bidi w:val="0"/>
              <w:spacing w:before="0" w:after="283"/>
              <w:jc w:val="right"/>
              <w:rPr/>
            </w:pPr>
            <w:r>
              <w:rPr/>
              <w:t>(846,000</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3621" w:type="dxa"/>
            <w:tcBorders/>
            <w:shd w:fill="FFFFFF" w:val="clear"/>
            <w:vAlign w:val="center"/>
          </w:tcPr>
          <w:p>
            <w:pPr>
              <w:pStyle w:val="TableContents"/>
              <w:bidi w:val="0"/>
              <w:spacing w:before="0" w:after="283"/>
              <w:jc w:val="left"/>
              <w:rPr/>
            </w:pPr>
            <w:r>
              <w:rPr/>
              <w:t>Balance,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4,850,658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90,375,000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pPr>
            <w:r>
              <w:rPr/>
              <w:t>(72,278,000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8" w:type="dxa"/>
            <w:tcBorders>
              <w:bottom w:val="double" w:sz="10" w:space="0" w:color="000000"/>
            </w:tcBorders>
            <w:shd w:fill="FFFFFF" w:val="clear"/>
            <w:tcMar>
              <w:bottom w:w="28" w:type="dxa"/>
            </w:tcMar>
            <w:vAlign w:val="center"/>
          </w:tcPr>
          <w:p>
            <w:pPr>
              <w:pStyle w:val="TableContents"/>
              <w:bidi w:val="0"/>
              <w:spacing w:before="0" w:after="283"/>
              <w:jc w:val="right"/>
              <w:rPr/>
            </w:pPr>
            <w:r>
              <w:rPr/>
              <w:t>18,102,000</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6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621" w:type="dxa"/>
            <w:tcBorders/>
            <w:shd w:fill="FFFFFF" w:val="clear"/>
            <w:vAlign w:val="center"/>
          </w:tcPr>
          <w:p>
            <w:pPr>
              <w:pStyle w:val="TableContents"/>
              <w:bidi w:val="0"/>
              <w:spacing w:before="0" w:after="283"/>
              <w:jc w:val="left"/>
              <w:rPr/>
            </w:pPr>
            <w:r>
              <w:rPr/>
              <w:t>Balance January 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3,474,970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688" w:type="dxa"/>
            <w:tcBorders/>
            <w:shd w:fill="FFFFFF" w:val="clear"/>
            <w:vAlign w:val="center"/>
          </w:tcPr>
          <w:p>
            <w:pPr>
              <w:pStyle w:val="TableContents"/>
              <w:bidi w:val="0"/>
              <w:spacing w:before="0" w:after="283"/>
              <w:jc w:val="right"/>
              <w:rPr/>
            </w:pPr>
            <w:r>
              <w:rPr/>
              <w:t>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84,052,000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25" w:type="dxa"/>
            <w:tcBorders/>
            <w:shd w:fill="FFFFFF" w:val="clear"/>
            <w:vAlign w:val="center"/>
          </w:tcPr>
          <w:p>
            <w:pPr>
              <w:pStyle w:val="TableContents"/>
              <w:bidi w:val="0"/>
              <w:spacing w:before="0" w:after="283"/>
              <w:jc w:val="right"/>
              <w:rPr/>
            </w:pPr>
            <w:r>
              <w:rPr/>
              <w:t>(69,107,000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18" w:type="dxa"/>
            <w:tcBorders/>
            <w:shd w:fill="FFFFFF" w:val="clear"/>
            <w:vAlign w:val="center"/>
          </w:tcPr>
          <w:p>
            <w:pPr>
              <w:pStyle w:val="TableContents"/>
              <w:bidi w:val="0"/>
              <w:spacing w:before="0" w:after="283"/>
              <w:jc w:val="right"/>
              <w:rPr/>
            </w:pPr>
            <w:r>
              <w:rPr/>
              <w:t>14,948,000</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621" w:type="dxa"/>
            <w:tcBorders/>
            <w:shd w:fill="CCEEFF" w:val="clear"/>
            <w:vAlign w:val="center"/>
          </w:tcPr>
          <w:p>
            <w:pPr>
              <w:pStyle w:val="TableContents"/>
              <w:bidi w:val="0"/>
              <w:spacing w:before="0" w:after="283"/>
              <w:jc w:val="left"/>
              <w:rPr/>
            </w:pPr>
            <w:r>
              <w:rPr/>
              <w:t>Common Stock issued to directors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39,000</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621"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435,000</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621" w:type="dxa"/>
            <w:tcBorders/>
            <w:shd w:fill="CCEEFF" w:val="clear"/>
            <w:vAlign w:val="center"/>
          </w:tcPr>
          <w:p>
            <w:pPr>
              <w:pStyle w:val="TableContents"/>
              <w:bidi w:val="0"/>
              <w:spacing w:before="0" w:after="283"/>
              <w:jc w:val="left"/>
              <w:rPr/>
            </w:pPr>
            <w:r>
              <w:rPr/>
              <w:t>Common Stock issued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209,940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855,000</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62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(988,000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8" w:type="dxa"/>
            <w:tcBorders>
              <w:bottom w:val="single" w:sz="12" w:space="0" w:color="000000"/>
            </w:tcBorders>
            <w:shd w:fill="FFFFFF" w:val="clear"/>
            <w:tcMar>
              <w:bottom w:w="28" w:type="dxa"/>
            </w:tcMar>
            <w:vAlign w:val="center"/>
          </w:tcPr>
          <w:p>
            <w:pPr>
              <w:pStyle w:val="TableContents"/>
              <w:bidi w:val="0"/>
              <w:spacing w:before="0" w:after="283"/>
              <w:jc w:val="right"/>
              <w:rPr/>
            </w:pPr>
            <w:r>
              <w:rPr/>
              <w:t>(988,000</w:t>
            </w:r>
          </w:p>
        </w:tc>
        <w:tc>
          <w:tcPr>
            <w:tcW w:w="92" w:type="dxa"/>
            <w:tcBorders/>
            <w:shd w:fill="FFFFFF" w:val="clear"/>
            <w:vAlign w:val="center"/>
          </w:tcPr>
          <w:p>
            <w:pPr>
              <w:pStyle w:val="TableContents"/>
              <w:bidi w:val="0"/>
              <w:spacing w:before="0" w:after="283"/>
              <w:ind w:left="0" w:right="0" w:hanging="180"/>
              <w:jc w:val="left"/>
              <w:rPr/>
            </w:pPr>
            <w:r>
              <w:rPr/>
              <w:t>)</w:t>
            </w:r>
          </w:p>
        </w:tc>
      </w:tr>
      <w:tr>
        <w:trPr/>
        <w:tc>
          <w:tcPr>
            <w:tcW w:w="3621" w:type="dxa"/>
            <w:tcBorders/>
            <w:shd w:fill="CCEEFF" w:val="clear"/>
            <w:vAlign w:val="center"/>
          </w:tcPr>
          <w:p>
            <w:pPr>
              <w:pStyle w:val="TableContents"/>
              <w:bidi w:val="0"/>
              <w:spacing w:before="0" w:after="283"/>
              <w:jc w:val="left"/>
              <w:rPr/>
            </w:pPr>
            <w:r>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3,694,095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85,380,000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(70,095,000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18" w:type="dxa"/>
            <w:tcBorders>
              <w:bottom w:val="single" w:sz="12" w:space="0" w:color="000000"/>
            </w:tcBorders>
            <w:shd w:fill="CCEEFF" w:val="clear"/>
            <w:tcMar>
              <w:bottom w:w="28" w:type="dxa"/>
            </w:tcMar>
            <w:vAlign w:val="center"/>
          </w:tcPr>
          <w:p>
            <w:pPr>
              <w:pStyle w:val="TableContents"/>
              <w:bidi w:val="0"/>
              <w:spacing w:before="0" w:after="283"/>
              <w:jc w:val="right"/>
              <w:rPr/>
            </w:pPr>
            <w:r>
              <w:rPr/>
              <w:t>15,289,000</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6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621" w:type="dxa"/>
            <w:tcBorders/>
            <w:shd w:fill="CCEEFF" w:val="clear"/>
            <w:vAlign w:val="center"/>
          </w:tcPr>
          <w:p>
            <w:pPr>
              <w:pStyle w:val="TableContents"/>
              <w:bidi w:val="0"/>
              <w:spacing w:before="0" w:after="283"/>
              <w:jc w:val="left"/>
              <w:rPr/>
            </w:pPr>
            <w:r>
              <w:rPr/>
              <w:t>Common Stock issued to directors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39,000</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621"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157,000</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621" w:type="dxa"/>
            <w:tcBorders/>
            <w:shd w:fill="CCEEFF" w:val="clear"/>
            <w:vAlign w:val="center"/>
          </w:tcPr>
          <w:p>
            <w:pPr>
              <w:pStyle w:val="TableContents"/>
              <w:bidi w:val="0"/>
              <w:spacing w:before="0" w:after="283"/>
              <w:jc w:val="left"/>
              <w:rPr/>
            </w:pPr>
            <w:r>
              <w:rPr/>
              <w:t>Common Stock issued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330,000</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621" w:type="dxa"/>
            <w:tcBorders/>
            <w:shd w:fill="FFFFFF" w:val="clear"/>
            <w:vAlign w:val="center"/>
          </w:tcPr>
          <w:p>
            <w:pPr>
              <w:pStyle w:val="TableContents"/>
              <w:bidi w:val="0"/>
              <w:spacing w:before="0" w:after="283"/>
              <w:jc w:val="left"/>
              <w:rPr/>
            </w:pPr>
            <w:r>
              <w:rPr/>
              <w:t>Common Stock issued upon settlement of restricted stock units,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(127,000</w:t>
            </w:r>
          </w:p>
        </w:tc>
        <w:tc>
          <w:tcPr>
            <w:tcW w:w="92" w:type="dxa"/>
            <w:tcBorders/>
            <w:shd w:fill="FFFFFF" w:val="clear"/>
            <w:vAlign w:val="center"/>
          </w:tcPr>
          <w:p>
            <w:pPr>
              <w:pStyle w:val="TableContents"/>
              <w:bidi w:val="0"/>
              <w:spacing w:before="0" w:after="283"/>
              <w:ind w:left="0" w:right="0" w:hanging="180"/>
              <w:jc w:val="left"/>
              <w:rPr/>
            </w:pPr>
            <w:r>
              <w:rPr/>
              <w:t>)</w:t>
            </w:r>
          </w:p>
        </w:tc>
      </w:tr>
      <w:tr>
        <w:trPr/>
        <w:tc>
          <w:tcPr>
            <w:tcW w:w="362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(422,000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single" w:sz="12" w:space="0" w:color="000000"/>
            </w:tcBorders>
            <w:shd w:fill="CCEEFF" w:val="clear"/>
            <w:tcMar>
              <w:bottom w:w="28" w:type="dxa"/>
            </w:tcMar>
            <w:vAlign w:val="center"/>
          </w:tcPr>
          <w:p>
            <w:pPr>
              <w:pStyle w:val="TableContents"/>
              <w:bidi w:val="0"/>
              <w:spacing w:before="0" w:after="283"/>
              <w:jc w:val="right"/>
              <w:rPr/>
            </w:pPr>
            <w:r>
              <w:rPr/>
              <w:t>(422,000</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3621" w:type="dxa"/>
            <w:tcBorders/>
            <w:shd w:fill="FFFFFF" w:val="clear"/>
            <w:vAlign w:val="center"/>
          </w:tcPr>
          <w:p>
            <w:pPr>
              <w:pStyle w:val="TableContents"/>
              <w:bidi w:val="0"/>
              <w:spacing w:before="0" w:after="283"/>
              <w:jc w:val="left"/>
              <w:rPr/>
            </w:pPr>
            <w:r>
              <w:rPr/>
              <w:t>Balance,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3,862,103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pPr>
            <w:r>
              <w:rPr/>
              <w:t>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85,779,000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pPr>
            <w:r>
              <w:rPr/>
              <w:t>(70,517,000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8" w:type="dxa"/>
            <w:tcBorders>
              <w:bottom w:val="double" w:sz="10" w:space="0" w:color="000000"/>
            </w:tcBorders>
            <w:shd w:fill="FFFFFF" w:val="clear"/>
            <w:tcMar>
              <w:bottom w:w="28" w:type="dxa"/>
            </w:tcMar>
            <w:vAlign w:val="center"/>
          </w:tcPr>
          <w:p>
            <w:pPr>
              <w:pStyle w:val="TableContents"/>
              <w:bidi w:val="0"/>
              <w:spacing w:before="0" w:after="283"/>
              <w:jc w:val="right"/>
              <w:rPr/>
            </w:pPr>
            <w:r>
              <w:rPr/>
              <w:t>15,266,000</w:t>
            </w:r>
          </w:p>
        </w:tc>
        <w:tc>
          <w:tcPr>
            <w:tcW w:w="9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f_004"/>
      <w:bookmarkEnd w:id="7"/>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Cash Flows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 the Six Months Ended June 30,</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950" w:type="dxa"/>
        <w:jc w:val="left"/>
        <w:tblInd w:w="0" w:type="dxa"/>
        <w:tblLayout w:type="fixed"/>
        <w:tblCellMar>
          <w:top w:w="0" w:type="dxa"/>
          <w:left w:w="0" w:type="dxa"/>
          <w:bottom w:w="0" w:type="dxa"/>
          <w:right w:w="0" w:type="dxa"/>
        </w:tblCellMar>
      </w:tblPr>
      <w:tblGrid>
        <w:gridCol w:w="7235"/>
        <w:gridCol w:w="60"/>
        <w:gridCol w:w="140"/>
        <w:gridCol w:w="1055"/>
        <w:gridCol w:w="95"/>
        <w:gridCol w:w="60"/>
        <w:gridCol w:w="140"/>
        <w:gridCol w:w="1055"/>
        <w:gridCol w:w="110"/>
      </w:tblGrid>
      <w:tr>
        <w:trPr/>
        <w:tc>
          <w:tcPr>
            <w:tcW w:w="72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7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235" w:type="dxa"/>
            <w:tcBorders/>
            <w:vAlign w:val="center"/>
          </w:tcPr>
          <w:p>
            <w:pPr>
              <w:pStyle w:val="TableContents"/>
              <w:bidi w:val="0"/>
              <w:spacing w:before="0" w:after="283"/>
              <w:jc w:val="left"/>
              <w:rPr/>
            </w:pPr>
            <w:r>
              <w:rPr/>
              <w:t xml:space="preserve">CASH FLOWS FROM OPERATING ACTIVITIES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(1,866,000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(1,410,000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35" w:type="dxa"/>
            <w:tcBorders/>
            <w:shd w:fill="FFFFFF" w:val="clear"/>
            <w:vAlign w:val="center"/>
          </w:tcPr>
          <w:p>
            <w:pPr>
              <w:pStyle w:val="TableContents"/>
              <w:bidi w:val="0"/>
              <w:spacing w:before="0" w:after="283"/>
              <w:jc w:val="left"/>
              <w:rPr/>
            </w:pPr>
            <w:r>
              <w:rPr/>
              <w:t>Adjustments to reconcile net loss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Depreciation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1,427,000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1,187,000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3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1,023,000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670,000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Stock-Based Compensation forfeiture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35" w:type="dxa"/>
            <w:tcBorders/>
            <w:shd w:fill="FFFFFF" w:val="clear"/>
            <w:vAlign w:val="center"/>
          </w:tcPr>
          <w:p>
            <w:pPr>
              <w:pStyle w:val="TableContents"/>
              <w:bidi w:val="0"/>
              <w:spacing w:before="0" w:after="283"/>
              <w:jc w:val="left"/>
              <w:rPr/>
            </w:pPr>
            <w:r>
              <w:rPr/>
              <w:t>Amortization of Finance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98,000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357,000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35" w:type="dxa"/>
            <w:tcBorders/>
            <w:shd w:fill="FFFFFF" w:val="clear"/>
            <w:vAlign w:val="center"/>
          </w:tcPr>
          <w:p>
            <w:pPr>
              <w:pStyle w:val="TableContents"/>
              <w:bidi w:val="0"/>
              <w:spacing w:before="0" w:after="283"/>
              <w:jc w:val="left"/>
              <w:rPr/>
            </w:pPr>
            <w:r>
              <w:rPr/>
              <w:t>Deferred gain on sale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35" w:type="dxa"/>
            <w:tcBorders/>
            <w:shd w:fill="CCEEFF" w:val="clear"/>
            <w:vAlign w:val="center"/>
          </w:tcPr>
          <w:p>
            <w:pPr>
              <w:pStyle w:val="TableContents"/>
              <w:bidi w:val="0"/>
              <w:spacing w:before="0" w:after="283"/>
              <w:jc w:val="left"/>
              <w:rPr/>
            </w:pPr>
            <w:r>
              <w:rPr/>
              <w:t>Allowance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35" w:type="dxa"/>
            <w:tcBorders/>
            <w:shd w:fill="FFFFFF" w:val="clear"/>
            <w:vAlign w:val="center"/>
          </w:tcPr>
          <w:p>
            <w:pPr>
              <w:pStyle w:val="TableContents"/>
              <w:bidi w:val="0"/>
              <w:spacing w:before="0" w:after="283"/>
              <w:jc w:val="left"/>
              <w:rPr/>
            </w:pPr>
            <w:r>
              <w:rPr/>
              <w:t>Amortization of deferred financing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35" w:type="dxa"/>
            <w:tcBorders/>
            <w:shd w:fill="FFFFFF" w:val="clear"/>
            <w:vAlign w:val="center"/>
          </w:tcPr>
          <w:p>
            <w:pPr>
              <w:pStyle w:val="TableContents"/>
              <w:bidi w:val="0"/>
              <w:spacing w:before="0" w:after="283"/>
              <w:jc w:val="left"/>
              <w:rPr/>
            </w:pPr>
            <w:r>
              <w:rPr/>
              <w:t>(Increase) Decrease in Operating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1,897,000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35"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(2,438,000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(1,376,000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3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(17,000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35" w:type="dxa"/>
            <w:tcBorders/>
            <w:shd w:fill="FFFFFF" w:val="clear"/>
            <w:vAlign w:val="center"/>
          </w:tcPr>
          <w:p>
            <w:pPr>
              <w:pStyle w:val="TableContents"/>
              <w:bidi w:val="0"/>
              <w:spacing w:before="0" w:after="283"/>
              <w:jc w:val="left"/>
              <w:rPr/>
            </w:pPr>
            <w:r>
              <w:rPr/>
              <w:t>Contract costs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296,000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Prepaid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(20,000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35" w:type="dxa"/>
            <w:tcBorders/>
            <w:shd w:fill="FFFFFF" w:val="clear"/>
            <w:vAlign w:val="center"/>
          </w:tcPr>
          <w:p>
            <w:pPr>
              <w:pStyle w:val="TableContents"/>
              <w:bidi w:val="0"/>
              <w:spacing w:before="0" w:after="283"/>
              <w:jc w:val="left"/>
              <w:rPr/>
            </w:pPr>
            <w:r>
              <w:rPr/>
              <w:t>Deposits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Increase (Decrease) in Operating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35"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(1,010,000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1,249,000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(448,000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35"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3,073,000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(673,000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35"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1,870,000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35"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(485,000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(2,113,000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35"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(2,113,000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35" w:type="dxa"/>
            <w:tcBorders/>
            <w:shd w:fill="FFFFFF" w:val="clear"/>
            <w:vAlign w:val="center"/>
          </w:tcPr>
          <w:p>
            <w:pPr>
              <w:pStyle w:val="TableContents"/>
              <w:bidi w:val="0"/>
              <w:spacing w:before="0" w:after="283"/>
              <w:jc w:val="left"/>
              <w:rPr/>
            </w:pPr>
            <w:r>
              <w:rPr/>
              <w:t>Note payable - revolver - net - Current Credit Facility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(811,000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35" w:type="dxa"/>
            <w:tcBorders/>
            <w:shd w:fill="CCEEFF" w:val="clear"/>
            <w:vAlign w:val="center"/>
          </w:tcPr>
          <w:p>
            <w:pPr>
              <w:pStyle w:val="TableContents"/>
              <w:bidi w:val="0"/>
              <w:spacing w:before="0" w:after="283"/>
              <w:jc w:val="left"/>
              <w:rPr/>
            </w:pPr>
            <w:r>
              <w:rPr/>
              <w:t>Proceeds from term loan - Current Credit Facility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1,640,000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35" w:type="dxa"/>
            <w:tcBorders/>
            <w:shd w:fill="FFFFFF" w:val="clear"/>
            <w:vAlign w:val="center"/>
          </w:tcPr>
          <w:p>
            <w:pPr>
              <w:pStyle w:val="TableContents"/>
              <w:bidi w:val="0"/>
              <w:spacing w:before="0" w:after="283"/>
              <w:jc w:val="left"/>
              <w:rPr/>
            </w:pPr>
            <w:r>
              <w:rPr/>
              <w:t>Proceeds from Common Stock issued for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1,185,000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Payments for taxes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(127,000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35" w:type="dxa"/>
            <w:tcBorders/>
            <w:shd w:fill="FFFFFF" w:val="clear"/>
            <w:vAlign w:val="center"/>
          </w:tcPr>
          <w:p>
            <w:pPr>
              <w:pStyle w:val="TableContents"/>
              <w:bidi w:val="0"/>
              <w:spacing w:before="0" w:after="283"/>
              <w:jc w:val="left"/>
              <w:rPr/>
            </w:pPr>
            <w:r>
              <w:rPr/>
              <w:t>Payments of Subordinated Notes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(1,291,000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35" w:type="dxa"/>
            <w:tcBorders/>
            <w:shd w:fill="CCEEFF" w:val="clear"/>
            <w:vAlign w:val="center"/>
          </w:tcPr>
          <w:p>
            <w:pPr>
              <w:pStyle w:val="TableContents"/>
              <w:bidi w:val="0"/>
              <w:spacing w:before="0" w:after="283"/>
              <w:jc w:val="left"/>
              <w:rPr/>
            </w:pPr>
            <w:r>
              <w:rPr/>
              <w:t>Payments of term loan - Current Credit Facility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(485,000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35" w:type="dxa"/>
            <w:tcBorders/>
            <w:shd w:fill="FFFFFF" w:val="clear"/>
            <w:vAlign w:val="center"/>
          </w:tcPr>
          <w:p>
            <w:pPr>
              <w:pStyle w:val="TableContents"/>
              <w:bidi w:val="0"/>
              <w:spacing w:before="0" w:after="283"/>
              <w:jc w:val="left"/>
              <w:rPr/>
            </w:pPr>
            <w:r>
              <w:rPr/>
              <w:t>Payments of Solar Credit Facility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Payments of finance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(109,000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35" w:type="dxa"/>
            <w:tcBorders/>
            <w:shd w:fill="FFFFFF" w:val="clear"/>
            <w:vAlign w:val="center"/>
          </w:tcPr>
          <w:p>
            <w:pPr>
              <w:pStyle w:val="TableContents"/>
              <w:bidi w:val="0"/>
              <w:spacing w:before="0" w:after="283"/>
              <w:jc w:val="left"/>
              <w:rPr/>
            </w:pPr>
            <w:r>
              <w:rPr/>
              <w:t>Payments of loan payable - financed asset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35"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274,000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(3,000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NET INCREASE (DECREASE)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(246,000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35"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4,610,000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753,000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35"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4,624,000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507,000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June 30,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3725"/>
        <w:gridCol w:w="60"/>
        <w:gridCol w:w="140"/>
        <w:gridCol w:w="800"/>
        <w:gridCol w:w="60"/>
        <w:gridCol w:w="60"/>
        <w:gridCol w:w="140"/>
        <w:gridCol w:w="800"/>
        <w:gridCol w:w="75"/>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Supplemental cash flow information:</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Cash paid during the period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994,000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861,000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Cash paid during the period for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41,000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19,000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f_005"/>
      <w:bookmarkEnd w:id="8"/>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ORGANIZATION AND 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 is a Nevada corporation (“AIRI”).  The accompanying condensed consolidated financial statements presented are those of AIRI, and its wholly-owned subsidiaries: Air Industries Machining Corp. (“AIM”), Nassau Tool Works, Inc. (“NTW”), and the Sterling Engineering Corporation (“Sterling”) (together,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of the Company have been prepared in accordance with U.S. generally accepted accounting principles for interim financial information and with Rule 8-03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and six months ended June 30, 2026 are not necessarily indicative of the results that may be expected for the year ending December 31, 2026. These unaudited condensed consolidated financial statements should be read in conjunction with the audited consolidated financial statements and notes thereto included in the Company’s Annual Report on Form 10-K for the year ended December 31, 2025, as filed with the Securities and Exchange Commission on March 27, 2026, from which the accompanying condensed consolidated balance sheet dated December 31, 2025 was derived.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and Management’s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was in compliance with its minimum Fixed Charge Coverage Ratio (“FCCR”), of 1.10x as of the last day of the Fiscal Quarter on a rolling twelve-month basis, having attained a ratio of 1.36x. Additionally, all other financial and business covenants required under the terms of the Current Credit Facility were met. The Company’s debt under its Current Credit Facility and Related Party Subordinated Notes approximates $28,885,000. The Current Credit Facility is scheduled to expire on September 30, 2026, and the Related Party Subordinated Notes mature on October 1, 2026. These obligations are classified as current liabilities on the consolidated balance sheets as of June 30, 2026. As a result of the expiration dates of the Current Credit Facility and Related Party Subordinated Notes, there is substantial doubt about the Company’s ability to continue as a going concern for the twelve months following the date of filing of these condensed consolidated financial statements. The terms of all outstanding indebtedness are discussed further in “Note 5.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engaged in constructive discussions with various lenders as the Company has been advised by its lender that it does not want to renew its Current Credit Facility. However, the Company is currently engaged in discussions with Webster Bank as well as the holders of the Related Party Notes as to the terms and conditions on which they will extend the maturity dates of their debt to the Outside Date of November 30, 2026, as defined in the Amendment to the A&amp;R Merger Agreement (as defined in “Note 11. Merger Information”). While these discussions have been professional and remain ongoing, there can be no assurance that agreements will be reached with Webster Bank, the holders of the Related Party Notes or alternative financing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support current operations and strategic initiatives, the Company has raised capital through public market sales of its common stock since December 2024 and believes it can continue to access equity markets in future periods. During the year ended December 31, 2025, the Company generated gross proceeds of $4,869,000 through an At The Market (“ATM”) Offering, of which approximately $3,930,000 is restricted for the benefit of the Current Credit Facility lender. In light of the entry into the Merger Agreement with Tenax (each as defined in “Note 11. Merger Information”), the Company has temporarily paused all equity raising activity. See “Note 11. Merger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total unfilled contract values amounting to $279.0 million (including its $139.7 million in funded backlog plus additional potential funded orders against Long-Term Agreements (“LTAs”)). These unfilled contract values support a positive outlook for future growth.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generally sources its raw material, principally metal casting or forgings, from domestic sources. As such, the Company is generally not exposed to increased prices on imports but would be subject to increased prices if proposed tariffs or disruptions in supply chains resulting from tariffs or other geopolitical events or inflationary pressures cause the general level of prices for its products to increase. One component used by the Company on a key commercial aviation program is sourced from China. The Company’s contract with its customer for the product requires the Company to absorb the first five percent (5%) of any cost increases with further increases absorbed by the customer.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portion of the Company’s products are used in United States military aviation and as such, changes in the US defense budget are more material to demand than to changes in general economic conditions. However, the Company does have significant exposure in commercial aviation; demand for these products may be reduced if general economic conditions deteriorate reducing demand for commercial air travel.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do not include any adjustments relating to the recoverability and classification of recorded assets or the classification of liabilities that might be necessary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carried at the original invoice amount less an estimate made for credit losses based on a review of all outstanding amounts on a quarterly basis. Management determines the allowance for credit losses by regularly evaluating individual customer receivables and considering a customer’s financial condition, credit history, current economic conditions and other relevant factors, including specific reserves for certain accounts. Accounts receivable are written off when deemed uncollectible.  Bad debt expenses are recorded in operating expenses on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activity for the allowance for credit losses during the six months ended June 30, 2026 and 2025 is set forth in the table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56"/>
        <w:gridCol w:w="60"/>
        <w:gridCol w:w="188"/>
        <w:gridCol w:w="1075"/>
        <w:gridCol w:w="60"/>
        <w:gridCol w:w="60"/>
        <w:gridCol w:w="173"/>
        <w:gridCol w:w="964"/>
        <w:gridCol w:w="60"/>
        <w:gridCol w:w="60"/>
        <w:gridCol w:w="181"/>
        <w:gridCol w:w="979"/>
        <w:gridCol w:w="95"/>
        <w:gridCol w:w="60"/>
        <w:gridCol w:w="157"/>
        <w:gridCol w:w="900"/>
        <w:gridCol w:w="77"/>
      </w:tblGrid>
      <w:tr>
        <w:trPr/>
        <w:tc>
          <w:tcPr>
            <w:tcW w:w="50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3" w:type="dxa"/>
            <w:gridSpan w:val="2"/>
            <w:tcBorders/>
            <w:vAlign w:val="center"/>
          </w:tcPr>
          <w:p>
            <w:pPr>
              <w:pStyle w:val="TableContents"/>
              <w:bidi w:val="0"/>
              <w:spacing w:before="0" w:after="283"/>
              <w:jc w:val="center"/>
              <w:rPr>
                <w:b/>
              </w:rPr>
            </w:pPr>
            <w:r>
              <w:rPr>
                <w:b/>
              </w:rPr>
              <w:t>Balance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Deductions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vAlign w:val="center"/>
          </w:tcPr>
          <w:p>
            <w:pPr>
              <w:pStyle w:val="TableContents"/>
              <w:bidi w:val="0"/>
              <w:spacing w:before="0" w:after="283"/>
              <w:jc w:val="center"/>
              <w:rPr>
                <w:b/>
              </w:rPr>
            </w:pPr>
            <w:r>
              <w:rPr>
                <w:b/>
              </w:rPr>
              <w:t>Balance at</w:t>
            </w:r>
          </w:p>
        </w:tc>
        <w:tc>
          <w:tcPr>
            <w:tcW w:w="77" w:type="dxa"/>
            <w:tcBorders/>
            <w:vAlign w:val="center"/>
          </w:tcPr>
          <w:p>
            <w:pPr>
              <w:pStyle w:val="TableContents"/>
              <w:bidi w:val="0"/>
              <w:spacing w:before="0" w:after="283"/>
              <w:jc w:val="left"/>
              <w:rPr/>
            </w:pPr>
            <w:r>
              <w:rPr/>
              <w:t> </w:t>
            </w:r>
          </w:p>
        </w:tc>
      </w:tr>
      <w:tr>
        <w:trPr/>
        <w:tc>
          <w:tcPr>
            <w:tcW w:w="50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3" w:type="dxa"/>
            <w:gridSpan w:val="2"/>
            <w:tcBorders/>
            <w:vAlign w:val="center"/>
          </w:tcPr>
          <w:p>
            <w:pPr>
              <w:pStyle w:val="TableContents"/>
              <w:bidi w:val="0"/>
              <w:spacing w:before="0" w:after="283"/>
              <w:jc w:val="center"/>
              <w:rPr>
                <w:b/>
              </w:rPr>
            </w:pPr>
            <w:r>
              <w:rPr>
                <w:b/>
              </w:rPr>
              <w:t>Beginning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vAlign w:val="center"/>
          </w:tcPr>
          <w:p>
            <w:pPr>
              <w:pStyle w:val="TableContents"/>
              <w:bidi w:val="0"/>
              <w:spacing w:before="0" w:after="283"/>
              <w:jc w:val="center"/>
              <w:rPr>
                <w:b/>
              </w:rPr>
            </w:pPr>
            <w:r>
              <w:rPr>
                <w:b/>
              </w:rPr>
              <w:t>Charged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from the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vAlign w:val="center"/>
          </w:tcPr>
          <w:p>
            <w:pPr>
              <w:pStyle w:val="TableContents"/>
              <w:bidi w:val="0"/>
              <w:spacing w:before="0" w:after="283"/>
              <w:jc w:val="center"/>
              <w:rPr>
                <w:b/>
              </w:rPr>
            </w:pPr>
            <w:r>
              <w:rPr>
                <w:b/>
              </w:rPr>
              <w:t>End of</w:t>
            </w:r>
          </w:p>
        </w:tc>
        <w:tc>
          <w:tcPr>
            <w:tcW w:w="77" w:type="dxa"/>
            <w:tcBorders/>
            <w:vAlign w:val="center"/>
          </w:tcPr>
          <w:p>
            <w:pPr>
              <w:pStyle w:val="TableContents"/>
              <w:bidi w:val="0"/>
              <w:spacing w:before="0" w:after="283"/>
              <w:jc w:val="left"/>
              <w:rPr/>
            </w:pPr>
            <w:r>
              <w:rPr/>
              <w:t> </w:t>
            </w:r>
          </w:p>
        </w:tc>
      </w:tr>
      <w:tr>
        <w:trPr/>
        <w:tc>
          <w:tcPr>
            <w:tcW w:w="50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Allowance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w:t>
            </w:r>
          </w:p>
        </w:tc>
        <w:tc>
          <w:tcPr>
            <w:tcW w:w="77" w:type="dxa"/>
            <w:tcBorders/>
            <w:vAlign w:val="center"/>
          </w:tcPr>
          <w:p>
            <w:pPr>
              <w:pStyle w:val="TableContents"/>
              <w:bidi w:val="0"/>
              <w:spacing w:before="0" w:after="283"/>
              <w:jc w:val="left"/>
              <w:rPr/>
            </w:pPr>
            <w:r>
              <w:rPr/>
              <w:t> </w:t>
            </w:r>
          </w:p>
        </w:tc>
      </w:tr>
      <w:tr>
        <w:trPr/>
        <w:tc>
          <w:tcPr>
            <w:tcW w:w="5056" w:type="dxa"/>
            <w:tcBorders/>
            <w:shd w:fill="CCEEFF" w:val="clear"/>
            <w:vAlign w:val="center"/>
          </w:tcPr>
          <w:p>
            <w:pPr>
              <w:pStyle w:val="TableContents"/>
              <w:bidi w:val="0"/>
              <w:spacing w:before="0" w:after="283"/>
              <w:jc w:val="left"/>
              <w:rPr/>
            </w:pPr>
            <w:r>
              <w:rPr/>
              <w:t>Six Months ended June 30, 2026 Allowance for Credit Losses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75" w:type="dxa"/>
            <w:tcBorders/>
            <w:shd w:fill="CCEEFF" w:val="clear"/>
            <w:vAlign w:val="center"/>
          </w:tcPr>
          <w:p>
            <w:pPr>
              <w:pStyle w:val="TableContents"/>
              <w:bidi w:val="0"/>
              <w:spacing w:before="0" w:after="283"/>
              <w:jc w:val="right"/>
              <w:rPr/>
            </w:pPr>
            <w:r>
              <w:rPr/>
              <w:t>464,000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964" w:type="dxa"/>
            <w:tcBorders/>
            <w:shd w:fill="CCEEFF" w:val="clear"/>
            <w:vAlign w:val="center"/>
          </w:tcPr>
          <w:p>
            <w:pPr>
              <w:pStyle w:val="TableContents"/>
              <w:bidi w:val="0"/>
              <w:spacing w:before="0" w:after="283"/>
              <w:jc w:val="right"/>
              <w:rPr/>
            </w:pPr>
            <w:r>
              <w:rPr/>
              <w:t>165,000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(75,000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554,000</w:t>
            </w:r>
          </w:p>
        </w:tc>
        <w:tc>
          <w:tcPr>
            <w:tcW w:w="77" w:type="dxa"/>
            <w:tcBorders/>
            <w:shd w:fill="CCEEFF"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pPr>
            <w:r>
              <w:rPr/>
              <w:t>Six Months ended June 30, 2025 Allowance for Credit Losses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75" w:type="dxa"/>
            <w:tcBorders/>
            <w:shd w:fill="FFFFFF" w:val="clear"/>
            <w:vAlign w:val="center"/>
          </w:tcPr>
          <w:p>
            <w:pPr>
              <w:pStyle w:val="TableContents"/>
              <w:bidi w:val="0"/>
              <w:spacing w:before="0" w:after="283"/>
              <w:jc w:val="right"/>
              <w:rPr/>
            </w:pPr>
            <w:r>
              <w:rPr/>
              <w:t>396,000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64" w:type="dxa"/>
            <w:tcBorders/>
            <w:shd w:fill="FFFFFF" w:val="clear"/>
            <w:vAlign w:val="center"/>
          </w:tcPr>
          <w:p>
            <w:pPr>
              <w:pStyle w:val="TableContents"/>
              <w:bidi w:val="0"/>
              <w:spacing w:before="0" w:after="283"/>
              <w:jc w:val="right"/>
              <w:rPr/>
            </w:pPr>
            <w:r>
              <w:rPr/>
              <w:t>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979" w:type="dxa"/>
            <w:tcBorders/>
            <w:shd w:fill="FFFFFF" w:val="clear"/>
            <w:vAlign w:val="center"/>
          </w:tcPr>
          <w:p>
            <w:pPr>
              <w:pStyle w:val="TableContents"/>
              <w:bidi w:val="0"/>
              <w:spacing w:before="0" w:after="283"/>
              <w:jc w:val="right"/>
              <w:rPr/>
            </w:pPr>
            <w:r>
              <w:rPr/>
              <w:t>(56,000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900" w:type="dxa"/>
            <w:tcBorders/>
            <w:shd w:fill="FFFFFF" w:val="clear"/>
            <w:vAlign w:val="center"/>
          </w:tcPr>
          <w:p>
            <w:pPr>
              <w:pStyle w:val="TableContents"/>
              <w:bidi w:val="0"/>
              <w:spacing w:before="0" w:after="283"/>
              <w:jc w:val="right"/>
              <w:rPr/>
            </w:pPr>
            <w:r>
              <w:rPr/>
              <w:t>368,000</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values inventory at the lower of cost or an estimated net realizable value using the first-in first out method. The Company periodically evaluates inventory items not secured by backlog and establishes write-downs to estimated net realizable value for excess quantities, slow-moving goods, obsolescence and for other impairments of value. Adjustments to inventory are recorded in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the following at:</w:t>
      </w:r>
    </w:p>
    <w:p>
      <w:pPr>
        <w:pStyle w:val="TextBody"/>
        <w:bidi w:val="0"/>
        <w:spacing w:before="0" w:after="0"/>
        <w:ind w:left="0" w:right="0" w:hanging="0"/>
        <w:jc w:val="both"/>
        <w:rPr>
          <w:caps w:val="false"/>
          <w:smallCaps w:val="false"/>
        </w:rPr>
      </w:pPr>
      <w:r>
        <w:rPr>
          <w:caps w:val="false"/>
          <w:smallCaps w:val="false"/>
        </w:rPr>
        <w:t> </w:t>
      </w:r>
    </w:p>
    <w:tbl>
      <w:tblPr>
        <w:tblW w:w="4999" w:type="dxa"/>
        <w:jc w:val="left"/>
        <w:tblInd w:w="0" w:type="dxa"/>
        <w:tblLayout w:type="fixed"/>
        <w:tblCellMar>
          <w:top w:w="0" w:type="dxa"/>
          <w:left w:w="0" w:type="dxa"/>
          <w:bottom w:w="0" w:type="dxa"/>
          <w:right w:w="0" w:type="dxa"/>
        </w:tblCellMar>
      </w:tblPr>
      <w:tblGrid>
        <w:gridCol w:w="2090"/>
        <w:gridCol w:w="60"/>
        <w:gridCol w:w="140"/>
        <w:gridCol w:w="1100"/>
        <w:gridCol w:w="60"/>
        <w:gridCol w:w="60"/>
        <w:gridCol w:w="159"/>
        <w:gridCol w:w="1255"/>
        <w:gridCol w:w="75"/>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6,641,000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7,306,000</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19,815,000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17,072,000</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Semi-Finished Goods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9,503,000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9,206,000</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Final-Finished Goods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shd w:fill="FFFFFF" w:val="clear"/>
            <w:tcMar>
              <w:bottom w:w="28" w:type="dxa"/>
            </w:tcMar>
            <w:vAlign w:val="center"/>
          </w:tcPr>
          <w:p>
            <w:pPr>
              <w:pStyle w:val="TableContents"/>
              <w:bidi w:val="0"/>
              <w:spacing w:before="0" w:after="283"/>
              <w:jc w:val="right"/>
              <w:rPr/>
            </w:pPr>
            <w:r>
              <w:rPr/>
              <w:t>677,000</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36,699,000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10" w:space="0" w:color="000000"/>
            </w:tcBorders>
            <w:shd w:fill="CCEEFF" w:val="clear"/>
            <w:tcMar>
              <w:bottom w:w="28" w:type="dxa"/>
            </w:tcMar>
            <w:vAlign w:val="center"/>
          </w:tcPr>
          <w:p>
            <w:pPr>
              <w:pStyle w:val="TableContents"/>
              <w:bidi w:val="0"/>
              <w:spacing w:before="0" w:after="283"/>
              <w:jc w:val="right"/>
              <w:rPr/>
            </w:pPr>
            <w:r>
              <w:rPr/>
              <w:t>34,261,000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and Concentration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large percentage of the Company’s revenues are derived directly from large aerospace and defense prime contractors for which the ultimate end-user is the U.S. Government, other governments, or commercial airlines.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customers that exceeded 10% of net sales for the three months ended June 30, 2026 and 2025 are shown below:</w:t>
      </w:r>
    </w:p>
    <w:p>
      <w:pPr>
        <w:pStyle w:val="TextBody"/>
        <w:bidi w:val="0"/>
        <w:spacing w:before="0" w:after="0"/>
        <w:ind w:left="0" w:right="0" w:hanging="0"/>
        <w:jc w:val="center"/>
        <w:rPr>
          <w:caps w:val="false"/>
          <w:smallCaps w:val="false"/>
        </w:rPr>
      </w:pPr>
      <w:r>
        <w:rPr>
          <w:caps w:val="false"/>
          <w:smallCaps w:val="false"/>
        </w:rPr>
        <w:t> </w:t>
      </w:r>
    </w:p>
    <w:tbl>
      <w:tblPr>
        <w:tblW w:w="4347" w:type="dxa"/>
        <w:jc w:val="left"/>
        <w:tblInd w:w="0" w:type="dxa"/>
        <w:tblLayout w:type="fixed"/>
        <w:tblCellMar>
          <w:top w:w="0" w:type="dxa"/>
          <w:left w:w="0" w:type="dxa"/>
          <w:bottom w:w="28" w:type="dxa"/>
          <w:right w:w="0" w:type="dxa"/>
        </w:tblCellMar>
      </w:tblPr>
      <w:tblGrid>
        <w:gridCol w:w="1670"/>
        <w:gridCol w:w="60"/>
        <w:gridCol w:w="112"/>
        <w:gridCol w:w="824"/>
        <w:gridCol w:w="403"/>
        <w:gridCol w:w="112"/>
        <w:gridCol w:w="112"/>
        <w:gridCol w:w="824"/>
        <w:gridCol w:w="230"/>
      </w:tblGrid>
      <w:tr>
        <w:trPr/>
        <w:tc>
          <w:tcPr>
            <w:tcW w:w="1670" w:type="dxa"/>
            <w:tcBorders>
              <w:bottom w:val="single" w:sz="12" w:space="0" w:color="000000"/>
            </w:tcBorders>
            <w:vAlign w:val="center"/>
          </w:tcPr>
          <w:p>
            <w:pPr>
              <w:pStyle w:val="TableContents"/>
              <w:bidi w:val="0"/>
              <w:spacing w:before="0" w:after="283"/>
              <w:jc w:val="left"/>
              <w:rPr>
                <w:b/>
              </w:rPr>
            </w:pPr>
            <w:r>
              <w:rPr>
                <w:b/>
              </w:rPr>
              <w:t>Customer</w:t>
            </w:r>
          </w:p>
        </w:tc>
        <w:tc>
          <w:tcPr>
            <w:tcW w:w="60" w:type="dxa"/>
            <w:tcBorders/>
            <w:tcMar>
              <w:bottom w:w="0" w:type="dxa"/>
            </w:tcMar>
            <w:vAlign w:val="center"/>
          </w:tcPr>
          <w:p>
            <w:pPr>
              <w:pStyle w:val="TableContents"/>
              <w:bidi w:val="0"/>
              <w:spacing w:before="0" w:after="283"/>
              <w:jc w:val="left"/>
              <w:rPr/>
            </w:pPr>
            <w:r>
              <w:rPr/>
              <w:t> </w:t>
            </w:r>
          </w:p>
        </w:tc>
        <w:tc>
          <w:tcPr>
            <w:tcW w:w="2387" w:type="dxa"/>
            <w:gridSpan w:val="6"/>
            <w:tcBorders>
              <w:bottom w:val="single" w:sz="12" w:space="0" w:color="000000"/>
            </w:tcBorders>
            <w:vAlign w:val="center"/>
          </w:tcPr>
          <w:p>
            <w:pPr>
              <w:pStyle w:val="TableContents"/>
              <w:bidi w:val="0"/>
              <w:spacing w:before="0" w:after="283"/>
              <w:jc w:val="center"/>
              <w:rPr>
                <w:b/>
              </w:rPr>
            </w:pPr>
            <w:r>
              <w:rPr>
                <w:b/>
              </w:rPr>
              <w:t>Percentage of Net Sales</w:t>
            </w:r>
          </w:p>
        </w:tc>
        <w:tc>
          <w:tcPr>
            <w:tcW w:w="230" w:type="dxa"/>
            <w:tcBorders/>
            <w:tcMar>
              <w:bottom w:w="0" w:type="dxa"/>
            </w:tcMar>
            <w:vAlign w:val="center"/>
          </w:tcPr>
          <w:p>
            <w:pPr>
              <w:pStyle w:val="TableContents"/>
              <w:bidi w:val="0"/>
              <w:spacing w:before="0" w:after="283"/>
              <w:jc w:val="left"/>
              <w:rPr/>
            </w:pPr>
            <w:r>
              <w:rPr/>
              <w:t> </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 w:type="dxa"/>
            <w:gridSpan w:val="2"/>
            <w:tcBorders>
              <w:bottom w:val="single" w:sz="12" w:space="0" w:color="000000"/>
            </w:tcBorders>
            <w:vAlign w:val="center"/>
          </w:tcPr>
          <w:p>
            <w:pPr>
              <w:pStyle w:val="TableContents"/>
              <w:bidi w:val="0"/>
              <w:spacing w:before="0" w:after="283"/>
              <w:jc w:val="center"/>
              <w:rPr>
                <w:b/>
              </w:rPr>
            </w:pPr>
            <w:r>
              <w:rPr>
                <w:b/>
              </w:rPr>
              <w:t>2026</w:t>
            </w:r>
          </w:p>
        </w:tc>
        <w:tc>
          <w:tcPr>
            <w:tcW w:w="403" w:type="dxa"/>
            <w:tcBorders/>
            <w:tcMar>
              <w:bottom w:w="0" w:type="dxa"/>
            </w:tcMar>
            <w:vAlign w:val="center"/>
          </w:tcPr>
          <w:p>
            <w:pPr>
              <w:pStyle w:val="TableContents"/>
              <w:bidi w:val="0"/>
              <w:spacing w:before="0" w:after="283"/>
              <w:jc w:val="left"/>
              <w:rPr/>
            </w:pPr>
            <w:r>
              <w:rPr/>
              <w:t> </w:t>
            </w:r>
          </w:p>
        </w:tc>
        <w:tc>
          <w:tcPr>
            <w:tcW w:w="112" w:type="dxa"/>
            <w:tcBorders/>
            <w:tcMar>
              <w:bottom w:w="0" w:type="dxa"/>
            </w:tcMar>
            <w:vAlign w:val="center"/>
          </w:tcPr>
          <w:p>
            <w:pPr>
              <w:pStyle w:val="TableContents"/>
              <w:bidi w:val="0"/>
              <w:spacing w:before="0" w:after="283"/>
              <w:jc w:val="left"/>
              <w:rPr/>
            </w:pPr>
            <w:r>
              <w:rPr/>
              <w:t> </w:t>
            </w:r>
          </w:p>
        </w:tc>
        <w:tc>
          <w:tcPr>
            <w:tcW w:w="936" w:type="dxa"/>
            <w:gridSpan w:val="2"/>
            <w:tcBorders>
              <w:bottom w:val="single" w:sz="12" w:space="0" w:color="000000"/>
            </w:tcBorders>
            <w:vAlign w:val="center"/>
          </w:tcPr>
          <w:p>
            <w:pPr>
              <w:pStyle w:val="TableContents"/>
              <w:bidi w:val="0"/>
              <w:spacing w:before="0" w:after="283"/>
              <w:jc w:val="center"/>
              <w:rPr>
                <w:b/>
              </w:rPr>
            </w:pPr>
            <w:r>
              <w:rPr>
                <w:b/>
              </w:rPr>
              <w:t>2025</w:t>
            </w:r>
          </w:p>
        </w:tc>
        <w:tc>
          <w:tcPr>
            <w:tcW w:w="230" w:type="dxa"/>
            <w:tcBorders/>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283"/>
              <w:jc w:val="left"/>
              <w:rPr/>
            </w:pPr>
            <w:r>
              <w:rPr/>
              <w:t>Lockheed Martin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28.1</w:t>
            </w:r>
          </w:p>
        </w:tc>
        <w:tc>
          <w:tcPr>
            <w:tcW w:w="403"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27.5</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16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RTX </w:t>
            </w:r>
            <w:r>
              <w:rPr>
                <w:rFonts w:ascii="Times New Roman;Times;Serif" w:hAnsi="Times New Roman;Times;Serif"/>
                <w:position w:val="7"/>
                <w:sz w:val="16"/>
                <w:sz w:val="20"/>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25.4</w:t>
            </w:r>
          </w:p>
        </w:tc>
        <w:tc>
          <w:tcPr>
            <w:tcW w:w="403" w:type="dxa"/>
            <w:tcBorders/>
            <w:shd w:fill="FFFFFF" w:val="clear"/>
            <w:tcMar>
              <w:bottom w:w="0" w:type="dxa"/>
            </w:tcMar>
            <w:vAlign w:val="center"/>
          </w:tcPr>
          <w:p>
            <w:pPr>
              <w:pStyle w:val="TableContents"/>
              <w:bidi w:val="0"/>
              <w:spacing w:before="0" w:after="283"/>
              <w:jc w:val="left"/>
              <w:rPr/>
            </w:pPr>
            <w:r>
              <w:rPr/>
              <w:t>%</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44.3</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1670" w:type="dxa"/>
            <w:tcBorders/>
            <w:shd w:fill="CCEEFF" w:val="clear"/>
            <w:tcMar>
              <w:bottom w:w="0" w:type="dxa"/>
            </w:tcMar>
            <w:vAlign w:val="center"/>
          </w:tcPr>
          <w:p>
            <w:pPr>
              <w:pStyle w:val="TableContents"/>
              <w:bidi w:val="0"/>
              <w:spacing w:before="0" w:after="283"/>
              <w:jc w:val="left"/>
              <w:rPr/>
            </w:pPr>
            <w:r>
              <w:rPr/>
              <w:t>Ontic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10.8</w:t>
            </w:r>
          </w:p>
        </w:tc>
        <w:tc>
          <w:tcPr>
            <w:tcW w:w="403"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2.5</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245"/>
        <w:gridCol w:w="5450"/>
      </w:tblGrid>
      <w:tr>
        <w:trPr/>
        <w:tc>
          <w:tcPr>
            <w:tcW w:w="245" w:type="dxa"/>
            <w:tcBorders/>
            <w:vAlign w:val="center"/>
          </w:tcPr>
          <w:p>
            <w:pPr>
              <w:pStyle w:val="TableContents"/>
              <w:bidi w:val="0"/>
              <w:spacing w:before="0" w:after="283"/>
              <w:ind w:left="0" w:right="0" w:hanging="0"/>
              <w:jc w:val="left"/>
              <w:rPr>
                <w:position w:val="8"/>
                <w:sz w:val="19"/>
              </w:rPr>
            </w:pPr>
            <w:r>
              <w:rPr>
                <w:position w:val="8"/>
                <w:sz w:val="19"/>
              </w:rPr>
              <w:t>(a)</w:t>
            </w:r>
          </w:p>
        </w:tc>
        <w:tc>
          <w:tcPr>
            <w:tcW w:w="54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RTX includes Collins Landing Systems and Collins Aerostructures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customers that exceeded 10% of net sales for the six months ended June 30, 2026 and 2025 are shown below:</w:t>
      </w:r>
    </w:p>
    <w:p>
      <w:pPr>
        <w:pStyle w:val="TextBody"/>
        <w:bidi w:val="0"/>
        <w:spacing w:before="0" w:after="0"/>
        <w:ind w:left="0" w:right="0" w:hanging="0"/>
        <w:jc w:val="both"/>
        <w:rPr>
          <w:caps w:val="false"/>
          <w:smallCaps w:val="false"/>
        </w:rPr>
      </w:pPr>
      <w:r>
        <w:rPr>
          <w:caps w:val="false"/>
          <w:smallCaps w:val="false"/>
        </w:rPr>
        <w:t> </w:t>
      </w:r>
    </w:p>
    <w:tbl>
      <w:tblPr>
        <w:tblW w:w="4347" w:type="dxa"/>
        <w:jc w:val="left"/>
        <w:tblInd w:w="0" w:type="dxa"/>
        <w:tblLayout w:type="fixed"/>
        <w:tblCellMar>
          <w:top w:w="0" w:type="dxa"/>
          <w:left w:w="0" w:type="dxa"/>
          <w:bottom w:w="28" w:type="dxa"/>
          <w:right w:w="0" w:type="dxa"/>
        </w:tblCellMar>
      </w:tblPr>
      <w:tblGrid>
        <w:gridCol w:w="1670"/>
        <w:gridCol w:w="60"/>
        <w:gridCol w:w="112"/>
        <w:gridCol w:w="824"/>
        <w:gridCol w:w="403"/>
        <w:gridCol w:w="112"/>
        <w:gridCol w:w="112"/>
        <w:gridCol w:w="824"/>
        <w:gridCol w:w="230"/>
      </w:tblGrid>
      <w:tr>
        <w:trPr/>
        <w:tc>
          <w:tcPr>
            <w:tcW w:w="1670" w:type="dxa"/>
            <w:tcBorders>
              <w:bottom w:val="single" w:sz="12" w:space="0" w:color="000000"/>
            </w:tcBorders>
            <w:vAlign w:val="center"/>
          </w:tcPr>
          <w:p>
            <w:pPr>
              <w:pStyle w:val="TableContents"/>
              <w:bidi w:val="0"/>
              <w:spacing w:before="0" w:after="283"/>
              <w:jc w:val="left"/>
              <w:rPr>
                <w:b/>
              </w:rPr>
            </w:pPr>
            <w:r>
              <w:rPr>
                <w:b/>
              </w:rPr>
              <w:t>Customer</w:t>
            </w:r>
          </w:p>
        </w:tc>
        <w:tc>
          <w:tcPr>
            <w:tcW w:w="60" w:type="dxa"/>
            <w:tcBorders/>
            <w:tcMar>
              <w:bottom w:w="0" w:type="dxa"/>
            </w:tcMar>
            <w:vAlign w:val="center"/>
          </w:tcPr>
          <w:p>
            <w:pPr>
              <w:pStyle w:val="TableContents"/>
              <w:bidi w:val="0"/>
              <w:spacing w:before="0" w:after="283"/>
              <w:jc w:val="left"/>
              <w:rPr/>
            </w:pPr>
            <w:r>
              <w:rPr/>
              <w:t> </w:t>
            </w:r>
          </w:p>
        </w:tc>
        <w:tc>
          <w:tcPr>
            <w:tcW w:w="2387" w:type="dxa"/>
            <w:gridSpan w:val="6"/>
            <w:tcBorders>
              <w:bottom w:val="single" w:sz="12" w:space="0" w:color="000000"/>
            </w:tcBorders>
            <w:vAlign w:val="center"/>
          </w:tcPr>
          <w:p>
            <w:pPr>
              <w:pStyle w:val="TableContents"/>
              <w:bidi w:val="0"/>
              <w:spacing w:before="0" w:after="283"/>
              <w:jc w:val="center"/>
              <w:rPr>
                <w:b/>
              </w:rPr>
            </w:pPr>
            <w:r>
              <w:rPr>
                <w:b/>
              </w:rPr>
              <w:t>Percentage of Net Sales</w:t>
            </w:r>
          </w:p>
        </w:tc>
        <w:tc>
          <w:tcPr>
            <w:tcW w:w="230" w:type="dxa"/>
            <w:tcBorders/>
            <w:tcMar>
              <w:bottom w:w="0" w:type="dxa"/>
            </w:tcMar>
            <w:vAlign w:val="center"/>
          </w:tcPr>
          <w:p>
            <w:pPr>
              <w:pStyle w:val="TableContents"/>
              <w:bidi w:val="0"/>
              <w:spacing w:before="0" w:after="283"/>
              <w:jc w:val="left"/>
              <w:rPr/>
            </w:pPr>
            <w:r>
              <w:rPr/>
              <w:t> </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 w:type="dxa"/>
            <w:gridSpan w:val="2"/>
            <w:tcBorders>
              <w:bottom w:val="single" w:sz="12" w:space="0" w:color="000000"/>
            </w:tcBorders>
            <w:vAlign w:val="center"/>
          </w:tcPr>
          <w:p>
            <w:pPr>
              <w:pStyle w:val="TableContents"/>
              <w:bidi w:val="0"/>
              <w:spacing w:before="0" w:after="283"/>
              <w:jc w:val="center"/>
              <w:rPr>
                <w:b/>
              </w:rPr>
            </w:pPr>
            <w:r>
              <w:rPr>
                <w:b/>
              </w:rPr>
              <w:t>2026</w:t>
            </w:r>
          </w:p>
        </w:tc>
        <w:tc>
          <w:tcPr>
            <w:tcW w:w="403" w:type="dxa"/>
            <w:tcBorders/>
            <w:tcMar>
              <w:bottom w:w="0" w:type="dxa"/>
            </w:tcMar>
            <w:vAlign w:val="center"/>
          </w:tcPr>
          <w:p>
            <w:pPr>
              <w:pStyle w:val="TableContents"/>
              <w:bidi w:val="0"/>
              <w:spacing w:before="0" w:after="283"/>
              <w:jc w:val="left"/>
              <w:rPr/>
            </w:pPr>
            <w:r>
              <w:rPr/>
              <w:t> </w:t>
            </w:r>
          </w:p>
        </w:tc>
        <w:tc>
          <w:tcPr>
            <w:tcW w:w="112" w:type="dxa"/>
            <w:tcBorders/>
            <w:tcMar>
              <w:bottom w:w="0" w:type="dxa"/>
            </w:tcMar>
            <w:vAlign w:val="center"/>
          </w:tcPr>
          <w:p>
            <w:pPr>
              <w:pStyle w:val="TableContents"/>
              <w:bidi w:val="0"/>
              <w:spacing w:before="0" w:after="283"/>
              <w:jc w:val="left"/>
              <w:rPr/>
            </w:pPr>
            <w:r>
              <w:rPr/>
              <w:t> </w:t>
            </w:r>
          </w:p>
        </w:tc>
        <w:tc>
          <w:tcPr>
            <w:tcW w:w="936" w:type="dxa"/>
            <w:gridSpan w:val="2"/>
            <w:tcBorders>
              <w:bottom w:val="single" w:sz="12" w:space="0" w:color="000000"/>
            </w:tcBorders>
            <w:vAlign w:val="center"/>
          </w:tcPr>
          <w:p>
            <w:pPr>
              <w:pStyle w:val="TableContents"/>
              <w:bidi w:val="0"/>
              <w:spacing w:before="0" w:after="283"/>
              <w:jc w:val="center"/>
              <w:rPr>
                <w:b/>
              </w:rPr>
            </w:pPr>
            <w:r>
              <w:rPr>
                <w:b/>
              </w:rPr>
              <w:t>2025</w:t>
            </w:r>
          </w:p>
        </w:tc>
        <w:tc>
          <w:tcPr>
            <w:tcW w:w="230" w:type="dxa"/>
            <w:tcBorders/>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283"/>
              <w:jc w:val="left"/>
              <w:rPr/>
            </w:pPr>
            <w:r>
              <w:rPr/>
              <w:t>Lockheed Martin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31.5</w:t>
            </w:r>
          </w:p>
        </w:tc>
        <w:tc>
          <w:tcPr>
            <w:tcW w:w="403"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33.4</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16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RTX </w:t>
            </w:r>
            <w:r>
              <w:rPr>
                <w:rFonts w:ascii="Times New Roman;Times;Serif" w:hAnsi="Times New Roman;Times;Serif"/>
                <w:position w:val="7"/>
                <w:sz w:val="16"/>
                <w:sz w:val="20"/>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26.9</w:t>
            </w:r>
          </w:p>
        </w:tc>
        <w:tc>
          <w:tcPr>
            <w:tcW w:w="403" w:type="dxa"/>
            <w:tcBorders/>
            <w:shd w:fill="FFFFFF" w:val="clear"/>
            <w:tcMar>
              <w:bottom w:w="0" w:type="dxa"/>
            </w:tcMar>
            <w:vAlign w:val="center"/>
          </w:tcPr>
          <w:p>
            <w:pPr>
              <w:pStyle w:val="TableContents"/>
              <w:bidi w:val="0"/>
              <w:spacing w:before="0" w:after="283"/>
              <w:jc w:val="left"/>
              <w:rPr/>
            </w:pPr>
            <w:r>
              <w:rPr/>
              <w:t>%</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36.7</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245"/>
        <w:gridCol w:w="6380"/>
      </w:tblGrid>
      <w:tr>
        <w:trPr/>
        <w:tc>
          <w:tcPr>
            <w:tcW w:w="245" w:type="dxa"/>
            <w:tcBorders/>
            <w:vAlign w:val="center"/>
          </w:tcPr>
          <w:p>
            <w:pPr>
              <w:pStyle w:val="TableContents"/>
              <w:bidi w:val="0"/>
              <w:spacing w:before="0" w:after="283"/>
              <w:jc w:val="left"/>
              <w:rPr>
                <w:position w:val="8"/>
                <w:sz w:val="19"/>
              </w:rPr>
            </w:pPr>
            <w:r>
              <w:rPr>
                <w:position w:val="8"/>
                <w:sz w:val="19"/>
              </w:rPr>
              <w:t>(a)</w:t>
            </w:r>
          </w:p>
        </w:tc>
        <w:tc>
          <w:tcPr>
            <w:tcW w:w="6380" w:type="dxa"/>
            <w:tcBorders/>
            <w:vAlign w:val="center"/>
          </w:tcPr>
          <w:p>
            <w:pPr>
              <w:pStyle w:val="TableContents"/>
              <w:bidi w:val="0"/>
              <w:spacing w:before="0" w:after="283"/>
              <w:jc w:val="both"/>
              <w:rPr/>
            </w:pPr>
            <w:r>
              <w:rPr/>
              <w:t>RTX includes Collins Landing Systems and Collins Aerostructures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The composition of customers that exceed 10% of accounts receivable at June 30, 2026 and December 31, 2025 are shown below:</w:t>
      </w:r>
    </w:p>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28" w:type="dxa"/>
          <w:right w:w="0" w:type="dxa"/>
        </w:tblCellMar>
      </w:tblPr>
      <w:tblGrid>
        <w:gridCol w:w="1670"/>
        <w:gridCol w:w="60"/>
        <w:gridCol w:w="144"/>
        <w:gridCol w:w="1057"/>
        <w:gridCol w:w="516"/>
        <w:gridCol w:w="144"/>
        <w:gridCol w:w="169"/>
        <w:gridCol w:w="1245"/>
        <w:gridCol w:w="230"/>
      </w:tblGrid>
      <w:tr>
        <w:trPr/>
        <w:tc>
          <w:tcPr>
            <w:tcW w:w="1670" w:type="dxa"/>
            <w:tcBorders>
              <w:bottom w:val="single" w:sz="12" w:space="0" w:color="000000"/>
            </w:tcBorders>
            <w:vAlign w:val="center"/>
          </w:tcPr>
          <w:p>
            <w:pPr>
              <w:pStyle w:val="TableContents"/>
              <w:bidi w:val="0"/>
              <w:spacing w:before="0" w:after="283"/>
              <w:jc w:val="left"/>
              <w:rPr>
                <w:b/>
              </w:rPr>
            </w:pPr>
            <w:r>
              <w:rPr>
                <w:b/>
              </w:rPr>
              <w:t>Customer</w:t>
            </w:r>
          </w:p>
        </w:tc>
        <w:tc>
          <w:tcPr>
            <w:tcW w:w="60" w:type="dxa"/>
            <w:tcBorders/>
            <w:tcMar>
              <w:bottom w:w="0" w:type="dxa"/>
            </w:tcMar>
            <w:vAlign w:val="center"/>
          </w:tcPr>
          <w:p>
            <w:pPr>
              <w:pStyle w:val="TableContents"/>
              <w:bidi w:val="0"/>
              <w:spacing w:before="0" w:after="283"/>
              <w:jc w:val="left"/>
              <w:rPr/>
            </w:pPr>
            <w:r>
              <w:rPr/>
              <w:t> </w:t>
            </w:r>
          </w:p>
        </w:tc>
        <w:tc>
          <w:tcPr>
            <w:tcW w:w="3275" w:type="dxa"/>
            <w:gridSpan w:val="6"/>
            <w:tcBorders>
              <w:bottom w:val="single" w:sz="12" w:space="0" w:color="000000"/>
            </w:tcBorders>
            <w:vAlign w:val="center"/>
          </w:tcPr>
          <w:p>
            <w:pPr>
              <w:pStyle w:val="TableContents"/>
              <w:bidi w:val="0"/>
              <w:spacing w:before="0" w:after="283"/>
              <w:jc w:val="center"/>
              <w:rPr>
                <w:b/>
              </w:rPr>
            </w:pPr>
            <w:r>
              <w:rPr>
                <w:b/>
              </w:rPr>
              <w:t>Percentage of Net Receivables</w:t>
            </w:r>
          </w:p>
        </w:tc>
        <w:tc>
          <w:tcPr>
            <w:tcW w:w="230" w:type="dxa"/>
            <w:tcBorders/>
            <w:tcMar>
              <w:bottom w:w="0" w:type="dxa"/>
            </w:tcMar>
            <w:vAlign w:val="center"/>
          </w:tcPr>
          <w:p>
            <w:pPr>
              <w:pStyle w:val="TableContents"/>
              <w:bidi w:val="0"/>
              <w:spacing w:before="0" w:after="283"/>
              <w:jc w:val="left"/>
              <w:rPr/>
            </w:pPr>
            <w:r>
              <w:rPr/>
              <w:t> </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1" w:type="dxa"/>
            <w:gridSpan w:val="2"/>
            <w:tcBorders/>
            <w:tcMar>
              <w:bottom w:w="0" w:type="dxa"/>
            </w:tcMar>
            <w:vAlign w:val="center"/>
          </w:tcPr>
          <w:p>
            <w:pPr>
              <w:pStyle w:val="TableContents"/>
              <w:bidi w:val="0"/>
              <w:spacing w:before="0" w:after="283"/>
              <w:jc w:val="center"/>
              <w:rPr>
                <w:b/>
              </w:rPr>
            </w:pPr>
            <w:r>
              <w:rPr>
                <w:b/>
              </w:rPr>
              <w:t>June 30,</w:t>
            </w:r>
          </w:p>
        </w:tc>
        <w:tc>
          <w:tcPr>
            <w:tcW w:w="516"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center"/>
              <w:rPr>
                <w:b/>
              </w:rPr>
            </w:pPr>
            <w:r>
              <w:rPr>
                <w:b/>
              </w:rPr>
              <w:t>December 31,</w:t>
            </w:r>
          </w:p>
        </w:tc>
        <w:tc>
          <w:tcPr>
            <w:tcW w:w="230" w:type="dxa"/>
            <w:tcBorders/>
            <w:tcMar>
              <w:bottom w:w="0" w:type="dxa"/>
            </w:tcMar>
            <w:vAlign w:val="center"/>
          </w:tcPr>
          <w:p>
            <w:pPr>
              <w:pStyle w:val="TableContents"/>
              <w:bidi w:val="0"/>
              <w:spacing w:before="0" w:after="283"/>
              <w:jc w:val="left"/>
              <w:rPr/>
            </w:pPr>
            <w:r>
              <w:rPr/>
              <w:t> </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1" w:type="dxa"/>
            <w:gridSpan w:val="2"/>
            <w:tcBorders>
              <w:bottom w:val="single" w:sz="12" w:space="0" w:color="000000"/>
            </w:tcBorders>
            <w:vAlign w:val="center"/>
          </w:tcPr>
          <w:p>
            <w:pPr>
              <w:pStyle w:val="TableContents"/>
              <w:bidi w:val="0"/>
              <w:spacing w:before="0" w:after="283"/>
              <w:jc w:val="center"/>
              <w:rPr>
                <w:b/>
              </w:rPr>
            </w:pPr>
            <w:r>
              <w:rPr>
                <w:b/>
              </w:rPr>
              <w:t>2026</w:t>
            </w:r>
          </w:p>
        </w:tc>
        <w:tc>
          <w:tcPr>
            <w:tcW w:w="516"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2025</w:t>
            </w:r>
          </w:p>
        </w:tc>
        <w:tc>
          <w:tcPr>
            <w:tcW w:w="230" w:type="dxa"/>
            <w:tcBorders/>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RTX </w:t>
            </w:r>
            <w:r>
              <w:rPr>
                <w:rFonts w:ascii="Times New Roman;Times;Serif" w:hAnsi="Times New Roman;Times;Serif"/>
                <w:position w:val="7"/>
                <w:sz w:val="16"/>
                <w:sz w:val="20"/>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057" w:type="dxa"/>
            <w:tcBorders/>
            <w:shd w:fill="CCEEFF" w:val="clear"/>
            <w:tcMar>
              <w:bottom w:w="0" w:type="dxa"/>
            </w:tcMar>
            <w:vAlign w:val="center"/>
          </w:tcPr>
          <w:p>
            <w:pPr>
              <w:pStyle w:val="TableContents"/>
              <w:bidi w:val="0"/>
              <w:spacing w:before="0" w:after="283"/>
              <w:jc w:val="right"/>
              <w:rPr/>
            </w:pPr>
            <w:r>
              <w:rPr/>
              <w:t>37.8</w:t>
            </w:r>
          </w:p>
        </w:tc>
        <w:tc>
          <w:tcPr>
            <w:tcW w:w="516"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39.8</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1670" w:type="dxa"/>
            <w:tcBorders/>
            <w:shd w:fill="FFFFFF" w:val="clear"/>
            <w:tcMar>
              <w:bottom w:w="0" w:type="dxa"/>
            </w:tcMar>
            <w:vAlign w:val="center"/>
          </w:tcPr>
          <w:p>
            <w:pPr>
              <w:pStyle w:val="TableContents"/>
              <w:bidi w:val="0"/>
              <w:spacing w:before="0" w:after="283"/>
              <w:jc w:val="left"/>
              <w:rPr/>
            </w:pPr>
            <w:r>
              <w:rPr/>
              <w:t>Ontic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057" w:type="dxa"/>
            <w:tcBorders/>
            <w:shd w:fill="FFFFFF" w:val="clear"/>
            <w:tcMar>
              <w:bottom w:w="0" w:type="dxa"/>
            </w:tcMar>
            <w:vAlign w:val="center"/>
          </w:tcPr>
          <w:p>
            <w:pPr>
              <w:pStyle w:val="TableContents"/>
              <w:bidi w:val="0"/>
              <w:spacing w:before="0" w:after="283"/>
              <w:jc w:val="right"/>
              <w:rPr/>
            </w:pPr>
            <w:r>
              <w:rPr/>
              <w:t>18.2</w:t>
            </w:r>
          </w:p>
        </w:tc>
        <w:tc>
          <w:tcPr>
            <w:tcW w:w="516" w:type="dxa"/>
            <w:tcBorders/>
            <w:shd w:fill="FFFFFF" w:val="clear"/>
            <w:tcMar>
              <w:bottom w:w="0" w:type="dxa"/>
            </w:tcMar>
            <w:vAlign w:val="center"/>
          </w:tcPr>
          <w:p>
            <w:pPr>
              <w:pStyle w:val="TableContents"/>
              <w:bidi w:val="0"/>
              <w:spacing w:before="0" w:after="283"/>
              <w:jc w:val="left"/>
              <w:rPr/>
            </w:pPr>
            <w:r>
              <w:rPr/>
              <w:t>%</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245" w:type="dxa"/>
            <w:tcBorders/>
            <w:shd w:fill="FFFFFF" w:val="clear"/>
            <w:tcMar>
              <w:bottom w:w="0" w:type="dxa"/>
            </w:tcMar>
            <w:vAlign w:val="center"/>
          </w:tcPr>
          <w:p>
            <w:pPr>
              <w:pStyle w:val="TableContents"/>
              <w:bidi w:val="0"/>
              <w:spacing w:before="0" w:after="283"/>
              <w:jc w:val="right"/>
              <w:rPr/>
            </w:pPr>
            <w:r>
              <w:rPr/>
              <w:t>7.6</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1670" w:type="dxa"/>
            <w:tcBorders/>
            <w:shd w:fill="CCEEFF" w:val="clear"/>
            <w:tcMar>
              <w:bottom w:w="0" w:type="dxa"/>
            </w:tcMar>
            <w:vAlign w:val="center"/>
          </w:tcPr>
          <w:p>
            <w:pPr>
              <w:pStyle w:val="TableContents"/>
              <w:bidi w:val="0"/>
              <w:spacing w:before="0" w:after="283"/>
              <w:jc w:val="left"/>
              <w:rPr/>
            </w:pPr>
            <w:r>
              <w:rPr/>
              <w:t>Fokker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057" w:type="dxa"/>
            <w:tcBorders/>
            <w:shd w:fill="CCEEFF" w:val="clear"/>
            <w:tcMar>
              <w:bottom w:w="0" w:type="dxa"/>
            </w:tcMar>
            <w:vAlign w:val="center"/>
          </w:tcPr>
          <w:p>
            <w:pPr>
              <w:pStyle w:val="TableContents"/>
              <w:bidi w:val="0"/>
              <w:spacing w:before="0" w:after="283"/>
              <w:jc w:val="right"/>
              <w:rPr/>
            </w:pPr>
            <w:r>
              <w:rPr/>
              <w:t>12.1</w:t>
            </w:r>
          </w:p>
        </w:tc>
        <w:tc>
          <w:tcPr>
            <w:tcW w:w="516"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7.2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1670" w:type="dxa"/>
            <w:tcBorders/>
            <w:shd w:fill="FFFFFF" w:val="clear"/>
            <w:tcMar>
              <w:bottom w:w="0" w:type="dxa"/>
            </w:tcMar>
            <w:vAlign w:val="center"/>
          </w:tcPr>
          <w:p>
            <w:pPr>
              <w:pStyle w:val="TableContents"/>
              <w:bidi w:val="0"/>
              <w:spacing w:before="0" w:after="283"/>
              <w:jc w:val="left"/>
              <w:rPr/>
            </w:pPr>
            <w:r>
              <w:rPr/>
              <w:t>Lockheed Martin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057" w:type="dxa"/>
            <w:tcBorders/>
            <w:shd w:fill="FFFFFF" w:val="clear"/>
            <w:tcMar>
              <w:bottom w:w="0" w:type="dxa"/>
            </w:tcMar>
            <w:vAlign w:val="center"/>
          </w:tcPr>
          <w:p>
            <w:pPr>
              <w:pStyle w:val="TableContents"/>
              <w:bidi w:val="0"/>
              <w:spacing w:before="0" w:after="283"/>
              <w:jc w:val="right"/>
              <w:rPr/>
            </w:pPr>
            <w:r>
              <w:rPr/>
              <w:t>8.6</w:t>
            </w:r>
          </w:p>
        </w:tc>
        <w:tc>
          <w:tcPr>
            <w:tcW w:w="516" w:type="dxa"/>
            <w:tcBorders/>
            <w:shd w:fill="FFFFFF" w:val="clear"/>
            <w:tcMar>
              <w:bottom w:w="0" w:type="dxa"/>
            </w:tcMar>
            <w:vAlign w:val="center"/>
          </w:tcPr>
          <w:p>
            <w:pPr>
              <w:pStyle w:val="TableContents"/>
              <w:bidi w:val="0"/>
              <w:spacing w:before="0" w:after="283"/>
              <w:jc w:val="left"/>
              <w:rPr/>
            </w:pPr>
            <w:r>
              <w:rPr/>
              <w:t>%</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245" w:type="dxa"/>
            <w:tcBorders/>
            <w:shd w:fill="FFFFFF" w:val="clear"/>
            <w:tcMar>
              <w:bottom w:w="0" w:type="dxa"/>
            </w:tcMar>
            <w:vAlign w:val="center"/>
          </w:tcPr>
          <w:p>
            <w:pPr>
              <w:pStyle w:val="TableContents"/>
              <w:bidi w:val="0"/>
              <w:spacing w:before="0" w:after="283"/>
              <w:jc w:val="right"/>
              <w:rPr/>
            </w:pPr>
            <w:r>
              <w:rPr/>
              <w:t>11.9</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16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057" w:type="dxa"/>
            <w:tcBorders/>
            <w:shd w:fill="CCEEFF" w:val="clear"/>
            <w:tcMar>
              <w:bottom w:w="0" w:type="dxa"/>
            </w:tcMar>
            <w:vAlign w:val="center"/>
          </w:tcPr>
          <w:p>
            <w:pPr>
              <w:pStyle w:val="TableContents"/>
              <w:bidi w:val="0"/>
              <w:spacing w:before="0" w:after="283"/>
              <w:jc w:val="right"/>
              <w:rPr/>
            </w:pPr>
            <w:r>
              <w:rPr/>
              <w:t> </w:t>
            </w:r>
          </w:p>
        </w:tc>
        <w:tc>
          <w:tcPr>
            <w:tcW w:w="516"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245"/>
        <w:gridCol w:w="6380"/>
      </w:tblGrid>
      <w:tr>
        <w:trPr/>
        <w:tc>
          <w:tcPr>
            <w:tcW w:w="245" w:type="dxa"/>
            <w:tcBorders/>
            <w:vAlign w:val="center"/>
          </w:tcPr>
          <w:p>
            <w:pPr>
              <w:pStyle w:val="TableContents"/>
              <w:bidi w:val="0"/>
              <w:spacing w:before="0" w:after="283"/>
              <w:jc w:val="left"/>
              <w:rPr>
                <w:position w:val="8"/>
                <w:sz w:val="19"/>
              </w:rPr>
            </w:pPr>
            <w:r>
              <w:rPr>
                <w:position w:val="8"/>
                <w:sz w:val="19"/>
              </w:rPr>
              <w:t>(a)</w:t>
            </w:r>
          </w:p>
        </w:tc>
        <w:tc>
          <w:tcPr>
            <w:tcW w:w="6380" w:type="dxa"/>
            <w:tcBorders/>
            <w:vAlign w:val="center"/>
          </w:tcPr>
          <w:p>
            <w:pPr>
              <w:pStyle w:val="TableContents"/>
              <w:bidi w:val="0"/>
              <w:spacing w:before="0" w:after="283"/>
              <w:jc w:val="both"/>
              <w:rPr/>
            </w:pPr>
            <w:r>
              <w:rPr/>
              <w:t>RTX includes Collins Landing Systems and Collins Aerostructures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revenue from contracts with customers for the three and six months ending June 30, 2026 and 2025:</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1190"/>
        <w:gridCol w:w="60"/>
        <w:gridCol w:w="140"/>
        <w:gridCol w:w="1100"/>
        <w:gridCol w:w="60"/>
        <w:gridCol w:w="60"/>
        <w:gridCol w:w="140"/>
        <w:gridCol w:w="1100"/>
        <w:gridCol w:w="60"/>
        <w:gridCol w:w="60"/>
        <w:gridCol w:w="140"/>
        <w:gridCol w:w="1100"/>
        <w:gridCol w:w="60"/>
        <w:gridCol w:w="60"/>
        <w:gridCol w:w="140"/>
        <w:gridCol w:w="1100"/>
        <w:gridCol w:w="75"/>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1190" w:type="dxa"/>
            <w:tcBorders>
              <w:bottom w:val="single" w:sz="12" w:space="0" w:color="000000"/>
            </w:tcBorders>
            <w:tcMar>
              <w:bottom w:w="28" w:type="dxa"/>
            </w:tcMar>
            <w:vAlign w:val="center"/>
          </w:tcPr>
          <w:p>
            <w:pPr>
              <w:pStyle w:val="TableContents"/>
              <w:bidi w:val="0"/>
              <w:spacing w:before="0" w:after="283"/>
              <w:jc w:val="left"/>
              <w:rPr>
                <w:b/>
              </w:rPr>
            </w:pPr>
            <w:r>
              <w:rPr>
                <w:b/>
              </w:rPr>
              <w:t>Product</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Military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8,164,000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6,831,000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15,810,000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15,171,000</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Commercial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3,831,000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5,828,000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7,791,000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9,631,000</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11,995,000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12,659,000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23,601,000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24,802,000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June 30, 2026, the Company had occasionally maintained balances in its bank accounts that were in excess of the FDIC limit. The Company has not experienced any losses on these accounts.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sole-source suppliers to supply raw materials or other parts used in production. These suppliers are its only source for such parts and, therefore, in the event any of them were to go out of business or be unable to provide parts for any reason, the Company’s business would be severely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advance payments on certain contracts with the remainder of the contract balance due upon the shipment of the final product once the customer inspects and approves the product for shipment. At that time, the entire amount will be recognized as revenue and the deposit will be applied to the customer’s invoice.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June 30, 2026 and December 31, 2025, customer deposits were $3,464,000 and $391,000 respectively. The Company recognized revenue of $51,000 and $151,000 during the three and six months ended June 30, 2026, respectively, that was included in the customer deposits balance as of December 31, 2025. The Company recognized revenue of $142,000 and $673,000 during the three and six months ended June 30, 2025, respectively, that was included in the customer deposits balance as of December 31,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Backlog represents the value of orders received pursuant to our Long-Term Agreements (“LTA”) or spot orders pursuant to a purchase order. As of June 30, 2026, backlog relating to remaining performance obligations on contracts was approximately $139.7 million. The Company estimates that a substantial portion of this backlog will be recognized as net sales during the next twenty-four months, with the rest thereafter. This expectation assumes that raw material supplies and outsourced processing is completed and delivered on time and that the Company’s customers will accept delivery as scheduled. The Company anticipates that sales during the aforementioned periods will also include sales from expected new orders that are not included in backlog.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(“EPS”) is computed by dividing the net income (loss) applicable to common stock by the weighted-average number of shares of common stock outstanding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calculating diluted earnings (loss) per common share, the numerator includes net income (loss) plus interest on convertible notes payable assumed converted as of the first day of the period. The denominator includes both the weighted-average number of shares of common stock outstanding during the period and the number of common stock equivalents if the inclusion of such common stock equivalents is dilutive. Dilutive common stock equivalents potentially include stock options and warrants using the treasury stock method and convertible notes payable using the if-converted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securities have been excluded from the calculation as the exercise price was greater than the average market price of the common stock and because the effect of including these potential shares was anti-dilutive due to net loss incurred during the period:</w:t>
      </w:r>
    </w:p>
    <w:p>
      <w:pPr>
        <w:pStyle w:val="TextBody"/>
        <w:bidi w:val="0"/>
        <w:spacing w:before="0" w:after="0"/>
        <w:ind w:left="0" w:right="0" w:hanging="0"/>
        <w:jc w:val="both"/>
        <w:rPr>
          <w:caps w:val="false"/>
          <w:smallCaps w:val="false"/>
        </w:rPr>
      </w:pPr>
      <w:r>
        <w:rPr>
          <w:caps w:val="false"/>
          <w:smallCaps w:val="false"/>
        </w:rPr>
        <w:t> </w:t>
      </w:r>
    </w:p>
    <w:tbl>
      <w:tblPr>
        <w:tblW w:w="6941" w:type="dxa"/>
        <w:jc w:val="left"/>
        <w:tblInd w:w="0" w:type="dxa"/>
        <w:tblLayout w:type="fixed"/>
        <w:tblCellMar>
          <w:top w:w="0" w:type="dxa"/>
          <w:left w:w="0" w:type="dxa"/>
          <w:bottom w:w="0" w:type="dxa"/>
          <w:right w:w="0" w:type="dxa"/>
        </w:tblCellMar>
      </w:tblPr>
      <w:tblGrid>
        <w:gridCol w:w="2570"/>
        <w:gridCol w:w="60"/>
        <w:gridCol w:w="72"/>
        <w:gridCol w:w="960"/>
        <w:gridCol w:w="72"/>
        <w:gridCol w:w="72"/>
        <w:gridCol w:w="72"/>
        <w:gridCol w:w="960"/>
        <w:gridCol w:w="60"/>
        <w:gridCol w:w="60"/>
        <w:gridCol w:w="62"/>
        <w:gridCol w:w="830"/>
        <w:gridCol w:w="62"/>
        <w:gridCol w:w="62"/>
        <w:gridCol w:w="62"/>
        <w:gridCol w:w="830"/>
        <w:gridCol w:w="7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gridSpan w:val="2"/>
            <w:tcBorders/>
            <w:vAlign w:val="center"/>
          </w:tcPr>
          <w:p>
            <w:pPr>
              <w:pStyle w:val="TableContents"/>
              <w:bidi w:val="0"/>
              <w:spacing w:before="0" w:after="283"/>
              <w:jc w:val="center"/>
              <w:rPr>
                <w:b/>
              </w:rPr>
            </w:pPr>
            <w:r>
              <w:rPr>
                <w:b/>
              </w:rPr>
              <w:t>June 30,</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32"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2" w:type="dxa"/>
            <w:gridSpan w:val="2"/>
            <w:tcBorders/>
            <w:vAlign w:val="center"/>
          </w:tcPr>
          <w:p>
            <w:pPr>
              <w:pStyle w:val="TableContents"/>
              <w:bidi w:val="0"/>
              <w:spacing w:before="0" w:after="283"/>
              <w:jc w:val="center"/>
              <w:rPr>
                <w:b/>
              </w:rPr>
            </w:pPr>
            <w:r>
              <w:rPr>
                <w:b/>
              </w:rPr>
              <w:t>June 30,</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92" w:type="dxa"/>
            <w:gridSpan w:val="2"/>
            <w:tcBorders/>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395,453</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374,503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395,453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374,503</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60,086</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190,418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60,086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190,418</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Convertible Notes Payable</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center"/>
          </w:tcPr>
          <w:p>
            <w:pPr>
              <w:pStyle w:val="TableContents"/>
              <w:bidi w:val="0"/>
              <w:spacing w:before="0" w:after="283"/>
              <w:jc w:val="right"/>
              <w:rPr/>
            </w:pPr>
            <w:r>
              <w:rPr/>
              <w:t>361,700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center"/>
          </w:tcPr>
          <w:p>
            <w:pPr>
              <w:pStyle w:val="TableContents"/>
              <w:bidi w:val="0"/>
              <w:spacing w:before="0" w:after="283"/>
              <w:jc w:val="right"/>
              <w:rPr/>
            </w:pPr>
            <w:r>
              <w:rPr/>
              <w:t>361,700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361,700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361,700</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double" w:sz="10" w:space="0" w:color="000000"/>
            </w:tcBorders>
            <w:shd w:fill="FFFFFF" w:val="clear"/>
            <w:tcMar>
              <w:bottom w:w="28" w:type="dxa"/>
            </w:tcMar>
            <w:vAlign w:val="center"/>
          </w:tcPr>
          <w:p>
            <w:pPr>
              <w:pStyle w:val="TableContents"/>
              <w:bidi w:val="0"/>
              <w:spacing w:before="0" w:after="283"/>
              <w:jc w:val="right"/>
              <w:rPr/>
            </w:pPr>
            <w:r>
              <w:rPr/>
              <w:t>817,239</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double" w:sz="10" w:space="0" w:color="000000"/>
            </w:tcBorders>
            <w:shd w:fill="FFFFFF" w:val="clear"/>
            <w:tcMar>
              <w:bottom w:w="28" w:type="dxa"/>
            </w:tcMar>
            <w:vAlign w:val="center"/>
          </w:tcPr>
          <w:p>
            <w:pPr>
              <w:pStyle w:val="TableContents"/>
              <w:bidi w:val="0"/>
              <w:spacing w:before="0" w:after="283"/>
              <w:jc w:val="right"/>
              <w:rPr/>
            </w:pPr>
            <w:r>
              <w:rPr/>
              <w:t>926,621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pPr>
            <w:r>
              <w:rPr/>
              <w:t>817,239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pPr>
            <w:r>
              <w:rPr/>
              <w:t>926,621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compensation in accordance with FASB ASC 718, “Compensation – Stock Compensation.” Under the fair value recognition provision of the ASC, stock-based compensation cost is estimated at the grant date based on the fair value of the award. The Company estimates the fair value of stock options and warrants granted using the Black-Scholes-Merton option pricing model and stock grants at their closing reported market value. Stock-based compensation expense for employees amounted to $37,000 and $157,000 for the three months ended June 30, 2026 and 2025, respectively, and $572,000 and $592,000 for the six months ended June 30, 2026 and 2025, respectively. A forfeiture adjustment of stock-based compensation for an employee amounted to $125,000 and $0 for both the three and six months ending June 30, 2026 and 2025, respectively. Stock-based compensation expense for directors amounted to $22,000 and $39,000 for the three months ended June 30, 2026 and 2025, respectively, and $451,000 and $78,000 for the six months ended June 30, 2026 and 2025, respectively. Stock compensation expenses for employees and directors were included in operating expenses in the accompanying condensed consolidated statements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which requires public business entities to disclose additional information about specific expenses categories in the notes to financial statements at interim and annual reporting periods. The amendments in ASU 2024-03 are effective for annual reporting periods beginning after December 15, 2026, and interim reporting periods beginning after December 15, 2027. Early adoption is permitted. The Company is currently assessing the impact that adoption of this new accounting guidance will have on its consolidated financial statements and footnote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(Topic326): Measurement of Credit Loss for Accounts Receivable and Contract Assets”, which provides a practical expedient for estimating expected credit losses for current accounts receivable and contract assets arising under ASC 606 “Revenue from Contracts with Customers”. The amendments in ASU 2025-05 are effective for annual reporting periods beginning after December 15, 2025, and for interim periods within those annual periods. The Company is currently assessing the impact of that adoption of this new accounting guidance will have on its consolidated financial statements and footnote disclosures.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which clarifies interim reporting disclosure requirements. The amendments are effective for interim reporting periods within fiscal years beginning after December 15, 2027. Early adoption is permitted. The Company is currently evaluating the impact of adopting this standard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that any other recently issued, but not yet effective, accounting standards if currently adopted would have a material effect on the accompanying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property and equipment at June 30, 2026 and December 31, 2025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7459" w:type="dxa"/>
        <w:jc w:val="left"/>
        <w:tblInd w:w="0" w:type="dxa"/>
        <w:tblLayout w:type="fixed"/>
        <w:tblCellMar>
          <w:top w:w="0" w:type="dxa"/>
          <w:left w:w="0" w:type="dxa"/>
          <w:bottom w:w="0" w:type="dxa"/>
          <w:right w:w="0" w:type="dxa"/>
        </w:tblCellMar>
      </w:tblPr>
      <w:tblGrid>
        <w:gridCol w:w="3125"/>
        <w:gridCol w:w="60"/>
        <w:gridCol w:w="140"/>
        <w:gridCol w:w="1175"/>
        <w:gridCol w:w="95"/>
        <w:gridCol w:w="60"/>
        <w:gridCol w:w="150"/>
        <w:gridCol w:w="1264"/>
        <w:gridCol w:w="95"/>
        <w:gridCol w:w="60"/>
        <w:gridCol w:w="60"/>
        <w:gridCol w:w="1100"/>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Land and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313,000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313,000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0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Buildings and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2,739,000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1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31.5 years</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26,953,000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26,953,000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5 - 8 years</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Tools and Instruments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16,628,000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16,278,000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1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1.5 - 7 years</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Automotive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266,000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309,000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1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5 - 8 years</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1,139,000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Term of lease</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Computers and Software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705,000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1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4 - 6  years</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Total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49,187,000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48,702,000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0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(40,628,000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(39,201,000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10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8,559,000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4" w:type="dxa"/>
            <w:tcBorders>
              <w:bottom w:val="double" w:sz="10" w:space="0" w:color="000000"/>
            </w:tcBorders>
            <w:shd w:fill="CCEEFF" w:val="clear"/>
            <w:tcMar>
              <w:bottom w:w="28" w:type="dxa"/>
            </w:tcMar>
            <w:vAlign w:val="center"/>
          </w:tcPr>
          <w:p>
            <w:pPr>
              <w:pStyle w:val="TableContents"/>
              <w:bidi w:val="0"/>
              <w:spacing w:before="0" w:after="283"/>
              <w:jc w:val="right"/>
              <w:rPr/>
            </w:pPr>
            <w:r>
              <w:rPr/>
              <w:t>9,501,000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0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for the three months ended June 30, 2026 and 2025 was approximately $715,000 and $607,000, respectively. Depreciation expense for the six months ended June 30, 2026 and 2025 was approximately $1,427,000 and $1,187,000,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OPERATING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operating leases for leased office and manufacturing facilities. The leases have remaining lease terms of one to five years, some of which include options to extend or terminate the leases.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763"/>
        <w:gridCol w:w="60"/>
        <w:gridCol w:w="152"/>
        <w:gridCol w:w="875"/>
        <w:gridCol w:w="65"/>
        <w:gridCol w:w="65"/>
        <w:gridCol w:w="152"/>
        <w:gridCol w:w="875"/>
        <w:gridCol w:w="60"/>
        <w:gridCol w:w="60"/>
        <w:gridCol w:w="140"/>
        <w:gridCol w:w="800"/>
        <w:gridCol w:w="60"/>
        <w:gridCol w:w="60"/>
        <w:gridCol w:w="140"/>
        <w:gridCol w:w="800"/>
        <w:gridCol w:w="78"/>
      </w:tblGrid>
      <w:tr>
        <w:trPr/>
        <w:tc>
          <w:tcPr>
            <w:tcW w:w="57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78" w:type="dxa"/>
            <w:tcBorders/>
            <w:vAlign w:val="center"/>
          </w:tcPr>
          <w:p>
            <w:pPr>
              <w:pStyle w:val="TableContents"/>
              <w:bidi w:val="0"/>
              <w:spacing w:before="0" w:after="283"/>
              <w:jc w:val="left"/>
              <w:rPr/>
            </w:pPr>
            <w:r>
              <w:rPr/>
              <w:t> </w:t>
            </w:r>
          </w:p>
        </w:tc>
      </w:tr>
      <w:tr>
        <w:trPr/>
        <w:tc>
          <w:tcPr>
            <w:tcW w:w="57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vAlign w:val="center"/>
          </w:tcPr>
          <w:p>
            <w:pPr>
              <w:pStyle w:val="TableContents"/>
              <w:bidi w:val="0"/>
              <w:spacing w:before="0" w:after="283"/>
              <w:jc w:val="center"/>
              <w:rPr>
                <w:b/>
              </w:rPr>
            </w:pPr>
            <w:r>
              <w:rPr>
                <w:b/>
              </w:rPr>
              <w:t>June 30,</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7"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June 30,</w:t>
            </w:r>
          </w:p>
        </w:tc>
        <w:tc>
          <w:tcPr>
            <w:tcW w:w="78" w:type="dxa"/>
            <w:tcBorders/>
            <w:vAlign w:val="center"/>
          </w:tcPr>
          <w:p>
            <w:pPr>
              <w:pStyle w:val="TableContents"/>
              <w:bidi w:val="0"/>
              <w:spacing w:before="0" w:after="283"/>
              <w:jc w:val="left"/>
              <w:rPr/>
            </w:pPr>
            <w:r>
              <w:rPr/>
              <w:t> </w:t>
            </w:r>
          </w:p>
        </w:tc>
      </w:tr>
      <w:tr>
        <w:trPr/>
        <w:tc>
          <w:tcPr>
            <w:tcW w:w="57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pPr>
            <w:r>
              <w:rPr/>
              <w:t> </w:t>
            </w:r>
          </w:p>
        </w:tc>
      </w:tr>
      <w:tr>
        <w:trPr/>
        <w:tc>
          <w:tcPr>
            <w:tcW w:w="5763"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248,000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283,000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496,000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561,000</w:t>
            </w:r>
          </w:p>
        </w:tc>
        <w:tc>
          <w:tcPr>
            <w:tcW w:w="78" w:type="dxa"/>
            <w:tcBorders/>
            <w:shd w:fill="CCEEFF" w:val="clear"/>
            <w:vAlign w:val="center"/>
          </w:tcPr>
          <w:p>
            <w:pPr>
              <w:pStyle w:val="TableContents"/>
              <w:bidi w:val="0"/>
              <w:spacing w:before="0" w:after="283"/>
              <w:jc w:val="left"/>
              <w:rPr/>
            </w:pPr>
            <w:r>
              <w:rPr/>
              <w:t> </w:t>
            </w:r>
          </w:p>
        </w:tc>
      </w:tr>
      <w:tr>
        <w:trPr/>
        <w:tc>
          <w:tcPr>
            <w:tcW w:w="5763" w:type="dxa"/>
            <w:tcBorders/>
            <w:shd w:fill="FFFFFF" w:val="clear"/>
            <w:vAlign w:val="center"/>
          </w:tcPr>
          <w:p>
            <w:pPr>
              <w:pStyle w:val="TableContents"/>
              <w:bidi w:val="0"/>
              <w:spacing w:before="0" w:after="283"/>
              <w:jc w:val="left"/>
              <w:rPr/>
            </w:pPr>
            <w:r>
              <w:rPr/>
              <w:t>Total lease cost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248,000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283,000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496,000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561,000</w:t>
            </w:r>
          </w:p>
        </w:tc>
        <w:tc>
          <w:tcPr>
            <w:tcW w:w="78" w:type="dxa"/>
            <w:tcBorders/>
            <w:shd w:fill="FFFFFF" w:val="clear"/>
            <w:vAlign w:val="center"/>
          </w:tcPr>
          <w:p>
            <w:pPr>
              <w:pStyle w:val="TableContents"/>
              <w:bidi w:val="0"/>
              <w:spacing w:before="0" w:after="283"/>
              <w:jc w:val="left"/>
              <w:rPr/>
            </w:pPr>
            <w:r>
              <w:rPr/>
              <w:t> </w:t>
            </w:r>
          </w:p>
        </w:tc>
      </w:tr>
      <w:tr>
        <w:trPr/>
        <w:tc>
          <w:tcPr>
            <w:tcW w:w="57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5763" w:type="dxa"/>
            <w:tcBorders/>
            <w:shd w:fill="FFFFFF" w:val="clear"/>
            <w:vAlign w:val="center"/>
          </w:tcPr>
          <w:p>
            <w:pPr>
              <w:pStyle w:val="TableContents"/>
              <w:bidi w:val="0"/>
              <w:spacing w:before="0" w:after="283"/>
              <w:jc w:val="left"/>
              <w:rPr/>
            </w:pPr>
            <w:r>
              <w:rPr/>
              <w:t>Other Information</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5763" w:type="dxa"/>
            <w:tcBorders/>
            <w:shd w:fill="CCEEFF" w:val="clear"/>
            <w:vAlign w:val="center"/>
          </w:tcPr>
          <w:p>
            <w:pPr>
              <w:pStyle w:val="TableContents"/>
              <w:bidi w:val="0"/>
              <w:spacing w:before="0" w:after="283"/>
              <w:jc w:val="left"/>
              <w:rPr/>
            </w:pPr>
            <w:r>
              <w:rPr/>
              <w:t>Cash paid for amounts included in the measurement lease liability:</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243,000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239,000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486,000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512,000</w:t>
            </w:r>
          </w:p>
        </w:tc>
        <w:tc>
          <w:tcPr>
            <w:tcW w:w="78" w:type="dxa"/>
            <w:tcBorders/>
            <w:shd w:fill="CCEEFF" w:val="clear"/>
            <w:vAlign w:val="center"/>
          </w:tcPr>
          <w:p>
            <w:pPr>
              <w:pStyle w:val="TableContents"/>
              <w:bidi w:val="0"/>
              <w:spacing w:before="0" w:after="283"/>
              <w:jc w:val="left"/>
              <w:rPr/>
            </w:pPr>
            <w:r>
              <w:rPr/>
              <w:t> </w:t>
            </w:r>
          </w:p>
        </w:tc>
      </w:tr>
      <w:tr>
        <w:trPr/>
        <w:tc>
          <w:tcPr>
            <w:tcW w:w="5763" w:type="dxa"/>
            <w:tcBorders/>
            <w:shd w:fill="FFFFFF" w:val="clear"/>
            <w:vAlign w:val="center"/>
          </w:tcPr>
          <w:p>
            <w:pPr>
              <w:pStyle w:val="TableContents"/>
              <w:bidi w:val="0"/>
              <w:spacing w:before="0" w:after="283"/>
              <w:jc w:val="left"/>
              <w:rPr/>
            </w:pPr>
            <w:r>
              <w:rPr/>
              <w:t>Operating cash flow from operating leases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243,000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239,000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486,000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512,000</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883" w:type="dxa"/>
        <w:jc w:val="left"/>
        <w:tblInd w:w="0" w:type="dxa"/>
        <w:tblLayout w:type="fixed"/>
        <w:tblCellMar>
          <w:top w:w="0" w:type="dxa"/>
          <w:left w:w="0" w:type="dxa"/>
          <w:bottom w:w="0" w:type="dxa"/>
          <w:right w:w="0" w:type="dxa"/>
        </w:tblCellMar>
      </w:tblPr>
      <w:tblGrid>
        <w:gridCol w:w="5030"/>
        <w:gridCol w:w="60"/>
        <w:gridCol w:w="103"/>
        <w:gridCol w:w="771"/>
        <w:gridCol w:w="215"/>
        <w:gridCol w:w="60"/>
        <w:gridCol w:w="168"/>
        <w:gridCol w:w="1246"/>
        <w:gridCol w:w="23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Weighted Average Remaining Lease Term - in years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0.25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0.75</w:t>
            </w:r>
          </w:p>
        </w:tc>
        <w:tc>
          <w:tcPr>
            <w:tcW w:w="23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pPr>
            <w:r>
              <w:rPr/>
              <w:t>Weighted Average discount rate -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9.50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9.50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undiscounted cash flows of operating lease payments as of June 30, 2026, with remaining terms greater than one year are as follows:</w:t>
      </w:r>
    </w:p>
    <w:p>
      <w:pPr>
        <w:pStyle w:val="TextBody"/>
        <w:bidi w:val="0"/>
        <w:spacing w:before="0" w:after="0"/>
        <w:ind w:left="0" w:right="0" w:hanging="0"/>
        <w:jc w:val="both"/>
        <w:rPr>
          <w:caps w:val="false"/>
          <w:smallCaps w:val="false"/>
        </w:rPr>
      </w:pPr>
      <w:r>
        <w:rPr>
          <w:caps w:val="false"/>
          <w:smallCaps w:val="false"/>
        </w:rPr>
        <w:t> </w:t>
      </w:r>
    </w:p>
    <w:tbl>
      <w:tblPr>
        <w:tblW w:w="6110" w:type="dxa"/>
        <w:jc w:val="left"/>
        <w:tblInd w:w="0" w:type="dxa"/>
        <w:tblLayout w:type="fixed"/>
        <w:tblCellMar>
          <w:top w:w="0" w:type="dxa"/>
          <w:left w:w="0" w:type="dxa"/>
          <w:bottom w:w="0" w:type="dxa"/>
          <w:right w:w="0" w:type="dxa"/>
        </w:tblCellMar>
      </w:tblPr>
      <w:tblGrid>
        <w:gridCol w:w="4925"/>
        <w:gridCol w:w="60"/>
        <w:gridCol w:w="140"/>
        <w:gridCol w:w="875"/>
        <w:gridCol w:w="110"/>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December 31, 2026 (remainder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243,000</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Total future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243,000</w:t>
            </w:r>
          </w:p>
        </w:tc>
        <w:tc>
          <w:tcPr>
            <w:tcW w:w="11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Less: discount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(4,000</w:t>
            </w:r>
          </w:p>
        </w:tc>
        <w:tc>
          <w:tcPr>
            <w:tcW w:w="110" w:type="dxa"/>
            <w:tcBorders/>
            <w:shd w:fill="CCEEFF" w:val="clear"/>
            <w:vAlign w:val="center"/>
          </w:tcPr>
          <w:p>
            <w:pPr>
              <w:pStyle w:val="TableContents"/>
              <w:bidi w:val="0"/>
              <w:spacing w:before="0" w:after="283"/>
              <w:jc w:val="left"/>
              <w:rPr/>
            </w:pPr>
            <w:r>
              <w:rPr/>
              <w:t>)</w:t>
            </w:r>
          </w:p>
        </w:tc>
      </w:tr>
      <w:tr>
        <w:trPr/>
        <w:tc>
          <w:tcPr>
            <w:tcW w:w="4925" w:type="dxa"/>
            <w:tcBorders/>
            <w:shd w:fill="FFFFFF" w:val="clear"/>
            <w:vAlign w:val="center"/>
          </w:tcPr>
          <w:p>
            <w:pPr>
              <w:pStyle w:val="TableContents"/>
              <w:bidi w:val="0"/>
              <w:spacing w:before="0" w:after="283"/>
              <w:jc w:val="left"/>
              <w:rPr/>
            </w:pPr>
            <w:r>
              <w:rPr/>
              <w:t>Total operating lease maturities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239,000</w:t>
            </w:r>
          </w:p>
        </w:tc>
        <w:tc>
          <w:tcPr>
            <w:tcW w:w="11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Less: 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(239,000</w:t>
            </w:r>
          </w:p>
        </w:tc>
        <w:tc>
          <w:tcPr>
            <w:tcW w:w="110" w:type="dxa"/>
            <w:tcBorders/>
            <w:shd w:fill="CCEEFF" w:val="clear"/>
            <w:vAlign w:val="center"/>
          </w:tcPr>
          <w:p>
            <w:pPr>
              <w:pStyle w:val="TableContents"/>
              <w:bidi w:val="0"/>
              <w:spacing w:before="0" w:after="283"/>
              <w:jc w:val="left"/>
              <w:rPr/>
            </w:pPr>
            <w:r>
              <w:rPr/>
              <w:t>)</w:t>
            </w:r>
          </w:p>
        </w:tc>
      </w:tr>
      <w:tr>
        <w:trPr/>
        <w:tc>
          <w:tcPr>
            <w:tcW w:w="4925" w:type="dxa"/>
            <w:tcBorders/>
            <w:shd w:fill="FFFFFF" w:val="clear"/>
            <w:vAlign w:val="center"/>
          </w:tcPr>
          <w:p>
            <w:pPr>
              <w:pStyle w:val="TableContents"/>
              <w:bidi w:val="0"/>
              <w:spacing w:before="0" w:after="283"/>
              <w:jc w:val="left"/>
              <w:rPr/>
            </w:pPr>
            <w:r>
              <w:rPr/>
              <w:t>Total long term portion of operating lease maturities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debt outstanding as of June 30, 2026 is $25,638,000 and was $25,233,000 at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to third parties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524" w:type="dxa"/>
        <w:jc w:val="left"/>
        <w:tblInd w:w="0" w:type="dxa"/>
        <w:tblLayout w:type="fixed"/>
        <w:tblCellMar>
          <w:top w:w="0" w:type="dxa"/>
          <w:left w:w="0" w:type="dxa"/>
          <w:bottom w:w="0" w:type="dxa"/>
          <w:right w:w="0" w:type="dxa"/>
        </w:tblCellMar>
      </w:tblPr>
      <w:tblGrid>
        <w:gridCol w:w="3470"/>
        <w:gridCol w:w="60"/>
        <w:gridCol w:w="140"/>
        <w:gridCol w:w="1175"/>
        <w:gridCol w:w="95"/>
        <w:gridCol w:w="60"/>
        <w:gridCol w:w="150"/>
        <w:gridCol w:w="1264"/>
        <w:gridCol w:w="110"/>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Current Credit Facility – Revolver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18,683,000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17,618,000</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Current Credit Facility – Term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5,331,000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5,855,000</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Solar Credit Facility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971,000</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Finance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666,000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784,000</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Loans Payable - financed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5,000</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Subtotal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25,638,000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25,233,000</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(24,217,000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(23,721,000</w:t>
            </w:r>
          </w:p>
        </w:tc>
        <w:tc>
          <w:tcPr>
            <w:tcW w:w="110" w:type="dxa"/>
            <w:tcBorders/>
            <w:shd w:fill="CCEEFF" w:val="clear"/>
            <w:vAlign w:val="center"/>
          </w:tcPr>
          <w:p>
            <w:pPr>
              <w:pStyle w:val="TableContents"/>
              <w:bidi w:val="0"/>
              <w:spacing w:before="0" w:after="283"/>
              <w:jc w:val="left"/>
              <w:rPr/>
            </w:pPr>
            <w:r>
              <w:rPr/>
              <w:t>)</w:t>
            </w:r>
          </w:p>
        </w:tc>
      </w:tr>
      <w:tr>
        <w:trPr/>
        <w:tc>
          <w:tcPr>
            <w:tcW w:w="3470" w:type="dxa"/>
            <w:tcBorders/>
            <w:shd w:fill="FFFFFF" w:val="clear"/>
            <w:vAlign w:val="center"/>
          </w:tcPr>
          <w:p>
            <w:pPr>
              <w:pStyle w:val="TableContents"/>
              <w:bidi w:val="0"/>
              <w:spacing w:before="0" w:after="283"/>
              <w:jc w:val="left"/>
              <w:rPr/>
            </w:pPr>
            <w:r>
              <w:rPr/>
              <w:t>Long-Term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1,421,000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64" w:type="dxa"/>
            <w:tcBorders>
              <w:bottom w:val="double" w:sz="10" w:space="0" w:color="000000"/>
            </w:tcBorders>
            <w:shd w:fill="FFFFFF" w:val="clear"/>
            <w:tcMar>
              <w:bottom w:w="28" w:type="dxa"/>
            </w:tcMar>
            <w:vAlign w:val="center"/>
          </w:tcPr>
          <w:p>
            <w:pPr>
              <w:pStyle w:val="TableContents"/>
              <w:bidi w:val="0"/>
              <w:spacing w:before="0" w:after="283"/>
              <w:jc w:val="right"/>
              <w:rPr/>
            </w:pPr>
            <w:r>
              <w:rPr/>
              <w:t>1,512,000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credit facility (“Current Credit Facility”) with Webster Bank that expires on September 30, 2026. This facility, which was entered into on December 31, 2019, was amended several times and now provides for a $20,000,000 revolving loan (“Revolving Line of Credit”) and a $5,700,000 term loan and a $1,640,000 term loan (“Term Loans”). The loan is secured by a lien on substantially all of the assets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is $18,683,000 outstanding under the Revolving Line of Credit and $5,331,000 under the Term Loans.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the Current Credit Facility expires on September 30, 2026. Therefore, the entire Term Loan and all amounts due under the Revolving Line of Credit are classified as short term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shows the timing of payments due under the Term Loan:</w:t>
      </w:r>
    </w:p>
    <w:p>
      <w:pPr>
        <w:pStyle w:val="TextBody"/>
        <w:bidi w:val="0"/>
        <w:spacing w:before="0" w:after="0"/>
        <w:ind w:left="0" w:right="0" w:hanging="0"/>
        <w:jc w:val="both"/>
        <w:rPr>
          <w:caps w:val="false"/>
          <w:smallCaps w:val="false"/>
        </w:rPr>
      </w:pPr>
      <w:r>
        <w:rPr>
          <w:caps w:val="false"/>
          <w:smallCaps w:val="false"/>
        </w:rPr>
        <w:t> </w:t>
      </w:r>
    </w:p>
    <w:tbl>
      <w:tblPr>
        <w:tblW w:w="5780" w:type="dxa"/>
        <w:jc w:val="left"/>
        <w:tblInd w:w="0" w:type="dxa"/>
        <w:tblLayout w:type="fixed"/>
        <w:tblCellMar>
          <w:top w:w="0" w:type="dxa"/>
          <w:left w:w="0" w:type="dxa"/>
          <w:bottom w:w="28" w:type="dxa"/>
          <w:right w:w="0" w:type="dxa"/>
        </w:tblCellMar>
      </w:tblPr>
      <w:tblGrid>
        <w:gridCol w:w="4415"/>
        <w:gridCol w:w="60"/>
        <w:gridCol w:w="140"/>
        <w:gridCol w:w="1055"/>
        <w:gridCol w:w="110"/>
      </w:tblGrid>
      <w:tr>
        <w:trPr/>
        <w:tc>
          <w:tcPr>
            <w:tcW w:w="4415" w:type="dxa"/>
            <w:tcBorders>
              <w:bottom w:val="single" w:sz="12" w:space="0" w:color="000000"/>
            </w:tcBorders>
            <w:vAlign w:val="center"/>
          </w:tcPr>
          <w:p>
            <w:pPr>
              <w:pStyle w:val="TableContents"/>
              <w:bidi w:val="0"/>
              <w:spacing w:before="0" w:after="283"/>
              <w:jc w:val="left"/>
              <w:rPr>
                <w:b/>
              </w:rPr>
            </w:pPr>
            <w:r>
              <w:rPr>
                <w:b/>
              </w:rPr>
              <w:t>For the year ending</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4415" w:type="dxa"/>
            <w:tcBorders/>
            <w:shd w:fill="CCEEFF" w:val="clear"/>
            <w:tcMar>
              <w:bottom w:w="0" w:type="dxa"/>
            </w:tcMar>
            <w:vAlign w:val="center"/>
          </w:tcPr>
          <w:p>
            <w:pPr>
              <w:pStyle w:val="TableContents"/>
              <w:bidi w:val="0"/>
              <w:spacing w:before="0" w:after="283"/>
              <w:jc w:val="left"/>
              <w:rPr/>
            </w:pPr>
            <w:r>
              <w:rPr/>
              <w:t>December 31, 2026 (remainder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055" w:type="dxa"/>
            <w:tcBorders>
              <w:bottom w:val="single" w:sz="12" w:space="0" w:color="000000"/>
            </w:tcBorders>
            <w:shd w:fill="CCEEFF" w:val="clear"/>
            <w:vAlign w:val="center"/>
          </w:tcPr>
          <w:p>
            <w:pPr>
              <w:pStyle w:val="TableContents"/>
              <w:bidi w:val="0"/>
              <w:spacing w:before="0" w:after="283"/>
              <w:jc w:val="right"/>
              <w:rPr/>
            </w:pPr>
            <w:r>
              <w:rPr/>
              <w:t>5,331,000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15" w:type="dxa"/>
            <w:tcBorders/>
            <w:shd w:fill="FFFFFF" w:val="clear"/>
            <w:tcMar>
              <w:bottom w:w="0" w:type="dxa"/>
            </w:tcMar>
            <w:vAlign w:val="center"/>
          </w:tcPr>
          <w:p>
            <w:pPr>
              <w:pStyle w:val="TableContents"/>
              <w:bidi w:val="0"/>
              <w:spacing w:before="0" w:after="283"/>
              <w:jc w:val="left"/>
              <w:rPr/>
            </w:pPr>
            <w:r>
              <w:rPr/>
              <w:t>Term Loan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5,331,000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15" w:type="dxa"/>
            <w:tcBorders/>
            <w:shd w:fill="CCEEFF" w:val="clear"/>
            <w:tcMar>
              <w:bottom w:w="0" w:type="dxa"/>
            </w:tcMar>
            <w:vAlign w:val="center"/>
          </w:tcPr>
          <w:p>
            <w:pPr>
              <w:pStyle w:val="TableContents"/>
              <w:bidi w:val="0"/>
              <w:spacing w:before="0" w:after="283"/>
              <w:jc w:val="left"/>
              <w:rPr/>
            </w:pPr>
            <w:r>
              <w:rPr/>
              <w:t>Less: Current portion of Term Loan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(5,331,000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15" w:type="dxa"/>
            <w:tcBorders/>
            <w:shd w:fill="FFFFFF" w:val="clear"/>
            <w:tcMar>
              <w:bottom w:w="0" w:type="dxa"/>
            </w:tcMar>
            <w:vAlign w:val="center"/>
          </w:tcPr>
          <w:p>
            <w:pPr>
              <w:pStyle w:val="TableContents"/>
              <w:bidi w:val="0"/>
              <w:spacing w:before="0" w:after="283"/>
              <w:jc w:val="left"/>
              <w:rPr/>
            </w:pPr>
            <w:r>
              <w:rPr/>
              <w:t>Total long-term portion of Term Loan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055" w:type="dxa"/>
            <w:tcBorders>
              <w:bottom w:val="double" w:sz="10"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expense related to the Current Credit Facility amounted to approximately $387,000 and $326,000 for the three months ended June 30, 2026 and 2025, respectively, and $767,000 and $641,000 for the six months ended June 30, 2026 and 2025, respectively. Interest expense includes the amortization of deferred finance costs of $0 and $17,000 for the three months ended June 30, 2026 and 2025, respectively, and $0 and $34,000 for the six months ended June 30, 2026 and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summarizes various terms of the Current Credit: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meet a Fixed Charge Coverage Ratio (as defined) that is determined at the end of each fiscal quarter on a rolling twelve month basis of 1.10x. As of June 30, 2026, the Company was in full compliance with this ratio having attained a ratio of 1.36x. At December 31, 2025, the Company was in full compliance with its covenants.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Credit Facility limits the amount of capital expenditures and dividends the Company can pay to its stockholders. As of June 30, 2026, the Company was in compliance with this Covenant.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assets are pledged as collateral.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For so long as the Term Loan remains outstanding, if Excess Cash Flow (as defined) is a positive number for any fiscal year the Company shall pay an amount equal to the lesser of (i) twenty-five percent (25%) of the Excess Cash Flow for such fiscal year and (ii) the outstanding principal balance of the term loan. Such payment shall be applied to the outstanding principal balance of the Term Loan, on or prior to the April 15 immediately following such fiscal year. For the fiscal year ended December 31, 2025, based on the calculation there was no Excess Cash Flow payment required.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Both the Revolving Line of Credit and the Term Loan will bear an interest rate equal to the greater of (i) 3.50% and (ii) a rate per annum equal to the rate per annum published from time to time in the “Money Rates” table of the Wall Street Journal (or such other presentation within The Wall Street Journal as may be adopted hereafter for such information) as the base or prime rate for corporate loans at the nation’s largest commercial bank, less sixty-five hundredths (-0.65%) of one percent per annum. The average interest rate charged was 6.10% and 6.85% for the three months ended June 30, 2026 and 2025, respectively, and 6.10% and 6.85% for the six months ended June 30, 2026 and 2025, respectively.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summarizes certain amendments to the Current Credit Facility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January 30, 2025, we entered into an Eighth Amendment to provide for an additional Term Loan in the amount of $1,640,000 for the acquisition of equipment. The monthly principal installments on this additional Term Loan are $19,524. This amendment further revised our Financial Covenants. For the rolling twelve-month period ending March 31, 2025 and June 30, 2025, the Company is are required to achieve a Fixed Charge Coverage Ratio of 1.05x. Beginning with the rolling twelve-month period ending September 30, 2025 and going forward the Company is required to achieve a Fixed Charge Coverage Ratio of 1.25x. Additionally, the Company is allowed to pay off up to $4,800,000 of related party notes with funds raised in the Company’s At The Market debt offering. All other covenants remain unchanged. In connection with these changes, the Company paid an amendment fee of $20,000.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September 10, 2025, the Company entered into a Ninth Amendment where it agreed that $3,930,000 of the proceeds from its ATM Offering would be maintained in an interest bearing account at Webster Bank. The funds in this account serve as additional security for its obligations under the Current Credit Facility. Additionally, this amendment waived the default as June 30, 2025.</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December 15, 2025, the Company entered into a Tenth Amendment which waived the defaults caused by the failure to achieve the required fixed charge coverage ratio for the fiscal quarter ended June 30, 2025, and for exceeding the permitted amount of capital expenditures for the fiscal year ending December 31, 2025. Additionally, the maturity date of the revolving credit and term loans were extended to March 31, 2026, and the capital expenditure covenant was amended. The company paid an amendment fee of $40,000.</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February 26, 2026, the Company entered into an Eleventh Amendment which extended the maturity date of the revolving credit and term loans to September 30, 2026. The Company paid an amendment fee of $25,000 and agreed to pay an additional fee of $150,000 on the maturity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Currently, at any time, Webster Bank could choose to exercise additional rights that it has as a result of the Company’s previous defaults under the Current Credit Facility. For example, it could increase the rate of interest or refuse to make loans under the revolving portion of the Current Credit Facility and keep the funds remitted to the collection account. </w:t>
      </w:r>
      <w:r>
        <w:rPr>
          <w:rFonts w:ascii="Times New Roman;Times;Serif" w:hAnsi="Times New Roman;Times;Serif"/>
          <w:b w:val="false"/>
          <w:i w:val="false"/>
          <w:caps w:val="false"/>
          <w:smallCaps w:val="false"/>
          <w:sz w:val="20"/>
        </w:rPr>
        <w:t xml:space="preserve">If the lender were to cease making new loans under the revolving facility or limit the amount of loans under the revolving facility, the Company would lack the funds to continue or, possibly, expand operations. To date, the lender has chosen not to exercise any of its remedies, though the Company agreed to put $3,930,000 of ATM proceeds in an interest bearing account to serve as additional security for the Company’s obligations under the Current Credit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engaged in constructive discussions with Webster Bank and various lenders as the Company has been advised by its lender that it will not renew its Current Credit Facility. While these discussions have been professional and remain ongoing, there can be no assurance that agreements will be reached with existing lenders or with alternative financing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amendment fees paid in connection with the Current Credit Facility that are for a future benefit of the Company are included in Deferred Financing Costs, Net, Deposits and Other Assets, in the accompanying consolidated balance sheets and are amortized over the term of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has borrowing capacity of approximately $1,317,000 under the Revolving Loan.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Solar Credit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16, 2023, the Company entered into a financing agreement (“Solar Credit Facility”) with CT Green Bank, a quasi-public agency of the State of Connecticut, for the installation of solar energy systems including replacing the existing roof (“Project”) at its Sterling facility. Advances were made by CT Green Bank upon its approval of costs incurred on the Project up to $934,000. As of October 1, 2024, cumulative advances totaling $934,000 had been made including the payment of CT Green Bank’s closing costs of $25,000. Total interest accrued on the advances at the rate of 5% was $36,000.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 2024, the total cumulative advances of $934,000 along with the total accrued interest of $36,000 was converted by CT Green Bank, in accordance with the financing agreement, to a 20-year level payment term loan in the amount of $970,000 with interest accruing at the rate of 5.75%. Semi-annual payments in the amount of $42,000 are due commencing on July 1, 2025. The first semi-annual payment was for interest only. The second payment due on January 1, 2026 and all subsequent semi-annual payments include both principal and interest. As of June 30, 2026, the amount classified as short term is $29,000 and the amount classified as long term is $928,000.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expense related to the Solar Credit Facility amounted to approximately $14,000 and $14,000 for the three months ended June 30, 2026 and 2025, respectively, and $28,000 and $28,000 for the six months ended June 30, 2026 and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Lease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entered into finance leases for the purchase of additional manufacturing equipment. The obligations for the finance leases totaled $666,000 and $784,000 as of June 30, 2026 and December 31, 2025, respectively. The leases have an average imputed interest rate of 7.43% per annum and are payable monthly with the final payments due between September of 2026 and May of 2030.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98"/>
        <w:gridCol w:w="60"/>
        <w:gridCol w:w="170"/>
        <w:gridCol w:w="831"/>
        <w:gridCol w:w="73"/>
        <w:gridCol w:w="73"/>
        <w:gridCol w:w="170"/>
        <w:gridCol w:w="831"/>
        <w:gridCol w:w="60"/>
        <w:gridCol w:w="60"/>
        <w:gridCol w:w="140"/>
        <w:gridCol w:w="800"/>
        <w:gridCol w:w="60"/>
        <w:gridCol w:w="60"/>
        <w:gridCol w:w="140"/>
        <w:gridCol w:w="800"/>
        <w:gridCol w:w="79"/>
      </w:tblGrid>
      <w:tr>
        <w:trPr/>
        <w:tc>
          <w:tcPr>
            <w:tcW w:w="5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79" w:type="dxa"/>
            <w:tcBorders/>
            <w:vAlign w:val="center"/>
          </w:tcPr>
          <w:p>
            <w:pPr>
              <w:pStyle w:val="TableContents"/>
              <w:bidi w:val="0"/>
              <w:spacing w:before="0" w:after="283"/>
              <w:jc w:val="left"/>
              <w:rPr/>
            </w:pPr>
            <w:r>
              <w:rPr/>
              <w:t> </w:t>
            </w:r>
          </w:p>
        </w:tc>
      </w:tr>
      <w:tr>
        <w:trPr/>
        <w:tc>
          <w:tcPr>
            <w:tcW w:w="5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1" w:type="dxa"/>
            <w:gridSpan w:val="2"/>
            <w:tcBorders/>
            <w:vAlign w:val="center"/>
          </w:tcPr>
          <w:p>
            <w:pPr>
              <w:pStyle w:val="TableContents"/>
              <w:bidi w:val="0"/>
              <w:spacing w:before="0" w:after="283"/>
              <w:jc w:val="center"/>
              <w:rPr>
                <w:b/>
              </w:rPr>
            </w:pPr>
            <w:r>
              <w:rPr>
                <w:b/>
              </w:rPr>
              <w:t>June 30,</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01"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June 30,</w:t>
            </w:r>
          </w:p>
        </w:tc>
        <w:tc>
          <w:tcPr>
            <w:tcW w:w="79" w:type="dxa"/>
            <w:tcBorders/>
            <w:vAlign w:val="center"/>
          </w:tcPr>
          <w:p>
            <w:pPr>
              <w:pStyle w:val="TableContents"/>
              <w:bidi w:val="0"/>
              <w:spacing w:before="0" w:after="283"/>
              <w:jc w:val="left"/>
              <w:rPr/>
            </w:pPr>
            <w:r>
              <w:rPr/>
              <w:t> </w:t>
            </w:r>
          </w:p>
        </w:tc>
      </w:tr>
      <w:tr>
        <w:trPr/>
        <w:tc>
          <w:tcPr>
            <w:tcW w:w="5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p>
        </w:tc>
      </w:tr>
      <w:tr>
        <w:trPr/>
        <w:tc>
          <w:tcPr>
            <w:tcW w:w="5798" w:type="dxa"/>
            <w:tcBorders/>
            <w:vAlign w:val="center"/>
          </w:tcPr>
          <w:p>
            <w:pPr>
              <w:pStyle w:val="TableContents"/>
              <w:bidi w:val="0"/>
              <w:spacing w:before="0" w:after="283"/>
              <w:jc w:val="left"/>
              <w:rPr/>
            </w:pPr>
            <w:r>
              <w:rPr/>
              <w:t>Finance Lease cost:</w:t>
            </w:r>
          </w:p>
        </w:tc>
        <w:tc>
          <w:tcPr>
            <w:tcW w:w="60" w:type="dxa"/>
            <w:tcBorders/>
            <w:vAlign w:val="center"/>
          </w:tcPr>
          <w:p>
            <w:pPr>
              <w:pStyle w:val="TableContents"/>
              <w:bidi w:val="0"/>
              <w:spacing w:before="0" w:after="283"/>
              <w:jc w:val="left"/>
              <w:rPr/>
            </w:pPr>
            <w:r>
              <w:rPr/>
              <w:t> </w:t>
            </w:r>
          </w:p>
        </w:tc>
        <w:tc>
          <w:tcPr>
            <w:tcW w:w="1001" w:type="dxa"/>
            <w:gridSpan w:val="2"/>
            <w:tcBorders/>
            <w:vAlign w:val="center"/>
          </w:tcPr>
          <w:p>
            <w:pPr>
              <w:pStyle w:val="TableContents"/>
              <w:bidi w:val="0"/>
              <w:spacing w:before="0" w:after="283"/>
              <w:jc w:val="center"/>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0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r>
      <w:tr>
        <w:trPr/>
        <w:tc>
          <w:tcPr>
            <w:tcW w:w="5798" w:type="dxa"/>
            <w:tcBorders/>
            <w:shd w:fill="CCEEFF" w:val="clear"/>
            <w:vAlign w:val="center"/>
          </w:tcPr>
          <w:p>
            <w:pPr>
              <w:pStyle w:val="TableContents"/>
              <w:bidi w:val="0"/>
              <w:spacing w:before="0" w:after="283"/>
              <w:jc w:val="left"/>
              <w:rPr/>
            </w:pPr>
            <w:r>
              <w:rPr/>
              <w:t>Amortization of ROU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1" w:type="dxa"/>
            <w:tcBorders/>
            <w:shd w:fill="CCEEFF" w:val="clear"/>
            <w:vAlign w:val="center"/>
          </w:tcPr>
          <w:p>
            <w:pPr>
              <w:pStyle w:val="TableContents"/>
              <w:bidi w:val="0"/>
              <w:spacing w:before="0" w:after="283"/>
              <w:jc w:val="right"/>
              <w:rPr/>
            </w:pPr>
            <w:r>
              <w:rPr/>
              <w:t>49,000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1" w:type="dxa"/>
            <w:tcBorders/>
            <w:shd w:fill="CCEEFF" w:val="clear"/>
            <w:vAlign w:val="center"/>
          </w:tcPr>
          <w:p>
            <w:pPr>
              <w:pStyle w:val="TableContents"/>
              <w:bidi w:val="0"/>
              <w:spacing w:before="0" w:after="283"/>
              <w:jc w:val="right"/>
              <w:rPr/>
            </w:pPr>
            <w:r>
              <w:rPr/>
              <w:t>49,000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98,000</w:t>
            </w:r>
          </w:p>
        </w:tc>
        <w:tc>
          <w:tcPr>
            <w:tcW w:w="79" w:type="dxa"/>
            <w:tcBorders/>
            <w:shd w:fill="CCEEFF" w:val="clear"/>
            <w:vAlign w:val="center"/>
          </w:tcPr>
          <w:p>
            <w:pPr>
              <w:pStyle w:val="TableContents"/>
              <w:bidi w:val="0"/>
              <w:spacing w:before="0" w:after="283"/>
              <w:jc w:val="left"/>
              <w:rPr/>
            </w:pPr>
            <w:r>
              <w:rPr/>
              <w:t> </w:t>
            </w:r>
          </w:p>
        </w:tc>
      </w:tr>
      <w:tr>
        <w:trPr/>
        <w:tc>
          <w:tcPr>
            <w:tcW w:w="5798" w:type="dxa"/>
            <w:tcBorders/>
            <w:shd w:fill="FFFFFF" w:val="clear"/>
            <w:vAlign w:val="center"/>
          </w:tcPr>
          <w:p>
            <w:pPr>
              <w:pStyle w:val="TableContents"/>
              <w:bidi w:val="0"/>
              <w:spacing w:before="0" w:after="283"/>
              <w:jc w:val="left"/>
              <w:rPr/>
            </w:pPr>
            <w:r>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FFFFFF" w:val="clear"/>
            <w:tcMar>
              <w:bottom w:w="28" w:type="dxa"/>
            </w:tcMar>
            <w:vAlign w:val="center"/>
          </w:tcPr>
          <w:p>
            <w:pPr>
              <w:pStyle w:val="TableContents"/>
              <w:bidi w:val="0"/>
              <w:spacing w:before="0" w:after="283"/>
              <w:jc w:val="right"/>
              <w:rPr/>
            </w:pPr>
            <w:r>
              <w:rPr/>
              <w:t>13,000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FFFFFF" w:val="clear"/>
            <w:tcMar>
              <w:bottom w:w="28" w:type="dxa"/>
            </w:tcMar>
            <w:vAlign w:val="center"/>
          </w:tcPr>
          <w:p>
            <w:pPr>
              <w:pStyle w:val="TableContents"/>
              <w:bidi w:val="0"/>
              <w:spacing w:before="0" w:after="283"/>
              <w:jc w:val="right"/>
              <w:rPr/>
            </w:pPr>
            <w:r>
              <w:rPr/>
              <w:t>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36,000</w:t>
            </w:r>
          </w:p>
        </w:tc>
        <w:tc>
          <w:tcPr>
            <w:tcW w:w="79" w:type="dxa"/>
            <w:tcBorders/>
            <w:shd w:fill="FFFFFF" w:val="clear"/>
            <w:vAlign w:val="center"/>
          </w:tcPr>
          <w:p>
            <w:pPr>
              <w:pStyle w:val="TableContents"/>
              <w:bidi w:val="0"/>
              <w:spacing w:before="0" w:after="283"/>
              <w:jc w:val="left"/>
              <w:rPr/>
            </w:pPr>
            <w:r>
              <w:rPr/>
              <w:t> </w:t>
            </w:r>
          </w:p>
        </w:tc>
      </w:tr>
      <w:tr>
        <w:trPr/>
        <w:tc>
          <w:tcPr>
            <w:tcW w:w="5798" w:type="dxa"/>
            <w:tcBorders/>
            <w:shd w:fill="CCEEFF" w:val="clear"/>
            <w:vAlign w:val="center"/>
          </w:tcPr>
          <w:p>
            <w:pPr>
              <w:pStyle w:val="TableContents"/>
              <w:bidi w:val="0"/>
              <w:spacing w:before="0" w:after="283"/>
              <w:jc w:val="left"/>
              <w:rPr/>
            </w:pPr>
            <w:r>
              <w:rPr/>
              <w:t>Total lease Costs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1" w:type="dxa"/>
            <w:tcBorders>
              <w:bottom w:val="double" w:sz="10" w:space="0" w:color="000000"/>
            </w:tcBorders>
            <w:shd w:fill="CCEEFF" w:val="clear"/>
            <w:tcMar>
              <w:bottom w:w="28" w:type="dxa"/>
            </w:tcMar>
            <w:vAlign w:val="center"/>
          </w:tcPr>
          <w:p>
            <w:pPr>
              <w:pStyle w:val="TableContents"/>
              <w:bidi w:val="0"/>
              <w:spacing w:before="0" w:after="283"/>
              <w:jc w:val="right"/>
              <w:rPr/>
            </w:pPr>
            <w:r>
              <w:rPr/>
              <w:t>62,000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1" w:type="dxa"/>
            <w:tcBorders>
              <w:bottom w:val="double" w:sz="10" w:space="0" w:color="000000"/>
            </w:tcBorders>
            <w:shd w:fill="CCEEFF" w:val="clear"/>
            <w:tcMar>
              <w:bottom w:w="28" w:type="dxa"/>
            </w:tcMar>
            <w:vAlign w:val="center"/>
          </w:tcPr>
          <w:p>
            <w:pPr>
              <w:pStyle w:val="TableContents"/>
              <w:bidi w:val="0"/>
              <w:spacing w:before="0" w:after="283"/>
              <w:jc w:val="right"/>
              <w:rPr/>
            </w:pPr>
            <w:r>
              <w:rPr/>
              <w:t>67,000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134,000</w:t>
            </w:r>
          </w:p>
        </w:tc>
        <w:tc>
          <w:tcPr>
            <w:tcW w:w="79" w:type="dxa"/>
            <w:tcBorders/>
            <w:shd w:fill="CCEEFF" w:val="clear"/>
            <w:vAlign w:val="center"/>
          </w:tcPr>
          <w:p>
            <w:pPr>
              <w:pStyle w:val="TableContents"/>
              <w:bidi w:val="0"/>
              <w:spacing w:before="0" w:after="283"/>
              <w:jc w:val="left"/>
              <w:rPr/>
            </w:pPr>
            <w:r>
              <w:rPr/>
              <w:t> </w:t>
            </w:r>
          </w:p>
        </w:tc>
      </w:tr>
      <w:tr>
        <w:trPr/>
        <w:tc>
          <w:tcPr>
            <w:tcW w:w="5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5798" w:type="dxa"/>
            <w:tcBorders/>
            <w:shd w:fill="CCEEFF" w:val="clear"/>
            <w:vAlign w:val="center"/>
          </w:tcPr>
          <w:p>
            <w:pPr>
              <w:pStyle w:val="TableContents"/>
              <w:bidi w:val="0"/>
              <w:spacing w:before="0" w:after="283"/>
              <w:jc w:val="left"/>
              <w:rPr/>
            </w:pPr>
            <w:r>
              <w:rPr/>
              <w:t>Other Information:</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5798" w:type="dxa"/>
            <w:tcBorders/>
            <w:shd w:fill="FFFFFF" w:val="clear"/>
            <w:vAlign w:val="center"/>
          </w:tcPr>
          <w:p>
            <w:pPr>
              <w:pStyle w:val="TableContents"/>
              <w:bidi w:val="0"/>
              <w:spacing w:before="0" w:after="283"/>
              <w:jc w:val="left"/>
              <w:rPr/>
            </w:pPr>
            <w:r>
              <w:rPr/>
              <w:t>Cash Paid for amounts included in the measurement lease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5798" w:type="dxa"/>
            <w:tcBorders/>
            <w:shd w:fill="CCEEFF" w:val="clear"/>
            <w:vAlign w:val="center"/>
          </w:tcPr>
          <w:p>
            <w:pPr>
              <w:pStyle w:val="TableContents"/>
              <w:bidi w:val="0"/>
              <w:spacing w:before="0" w:after="283"/>
              <w:jc w:val="left"/>
              <w:rPr/>
            </w:pPr>
            <w:r>
              <w:rPr/>
              <w:t>Financing cash flow from finance lease obligations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1" w:type="dxa"/>
            <w:tcBorders>
              <w:bottom w:val="double" w:sz="10" w:space="0" w:color="000000"/>
            </w:tcBorders>
            <w:shd w:fill="CCEEFF" w:val="clear"/>
            <w:tcMar>
              <w:bottom w:w="28" w:type="dxa"/>
            </w:tcMar>
            <w:vAlign w:val="center"/>
          </w:tcPr>
          <w:p>
            <w:pPr>
              <w:pStyle w:val="TableContents"/>
              <w:bidi w:val="0"/>
              <w:spacing w:before="0" w:after="283"/>
              <w:jc w:val="right"/>
              <w:rPr/>
            </w:pPr>
            <w:r>
              <w:rPr/>
              <w:t>60,000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1" w:type="dxa"/>
            <w:tcBorders>
              <w:bottom w:val="double" w:sz="10" w:space="0" w:color="000000"/>
            </w:tcBorders>
            <w:shd w:fill="CCEEFF" w:val="clear"/>
            <w:tcMar>
              <w:bottom w:w="28" w:type="dxa"/>
            </w:tcMar>
            <w:vAlign w:val="center"/>
          </w:tcPr>
          <w:p>
            <w:pPr>
              <w:pStyle w:val="TableContents"/>
              <w:bidi w:val="0"/>
              <w:spacing w:before="0" w:after="283"/>
              <w:jc w:val="right"/>
              <w:rPr/>
            </w:pPr>
            <w:r>
              <w:rPr/>
              <w:t>55,000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118,000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109,000</w:t>
            </w:r>
          </w:p>
        </w:tc>
        <w:tc>
          <w:tcPr>
            <w:tcW w:w="79" w:type="dxa"/>
            <w:tcBorders/>
            <w:shd w:fill="CCEEFF" w:val="clear"/>
            <w:vAlign w:val="center"/>
          </w:tcPr>
          <w:p>
            <w:pPr>
              <w:pStyle w:val="TableContents"/>
              <w:bidi w:val="0"/>
              <w:spacing w:before="0" w:after="283"/>
              <w:jc w:val="left"/>
              <w:rPr/>
            </w:pPr>
            <w:r>
              <w:rPr/>
              <w:t> </w:t>
            </w:r>
          </w:p>
        </w:tc>
      </w:tr>
      <w:tr>
        <w:trPr/>
        <w:tc>
          <w:tcPr>
            <w:tcW w:w="5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5798" w:type="dxa"/>
            <w:tcBorders/>
            <w:shd w:fill="CCEEFF" w:val="clear"/>
            <w:vAlign w:val="center"/>
          </w:tcPr>
          <w:p>
            <w:pPr>
              <w:pStyle w:val="TableContents"/>
              <w:bidi w:val="0"/>
              <w:spacing w:before="0" w:after="283"/>
              <w:jc w:val="left"/>
              <w:rPr/>
            </w:pPr>
            <w:r>
              <w:rPr/>
              <w:t>Supplemental disclosure of non-cash activity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5798" w:type="dxa"/>
            <w:tcBorders/>
            <w:shd w:fill="FFFFFF" w:val="clear"/>
            <w:vAlign w:val="center"/>
          </w:tcPr>
          <w:p>
            <w:pPr>
              <w:pStyle w:val="TableContents"/>
              <w:bidi w:val="0"/>
              <w:spacing w:before="0" w:after="283"/>
              <w:jc w:val="left"/>
              <w:rPr/>
            </w:pPr>
            <w:r>
              <w:rPr/>
              <w:t>Acquisition of finance lease asset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943" w:type="dxa"/>
        <w:jc w:val="left"/>
        <w:tblInd w:w="0" w:type="dxa"/>
        <w:tblLayout w:type="fixed"/>
        <w:tblCellMar>
          <w:top w:w="0" w:type="dxa"/>
          <w:left w:w="0" w:type="dxa"/>
          <w:bottom w:w="0" w:type="dxa"/>
          <w:right w:w="0" w:type="dxa"/>
        </w:tblCellMar>
      </w:tblPr>
      <w:tblGrid>
        <w:gridCol w:w="5090"/>
        <w:gridCol w:w="60"/>
        <w:gridCol w:w="103"/>
        <w:gridCol w:w="771"/>
        <w:gridCol w:w="215"/>
        <w:gridCol w:w="60"/>
        <w:gridCol w:w="168"/>
        <w:gridCol w:w="1246"/>
        <w:gridCol w:w="230"/>
      </w:tblGrid>
      <w:tr>
        <w:trPr/>
        <w:tc>
          <w:tcPr>
            <w:tcW w:w="5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Weighted  Average Remaining Lease Term - in years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3.6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4.8</w:t>
            </w:r>
          </w:p>
        </w:tc>
        <w:tc>
          <w:tcPr>
            <w:tcW w:w="23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Weighted Average Discount rate -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7.43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7.44</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aggregate future minimum finance lease payments, including imputed interest are as follows: </w:t>
      </w:r>
    </w:p>
    <w:p>
      <w:pPr>
        <w:pStyle w:val="TextBody"/>
        <w:bidi w:val="0"/>
        <w:spacing w:before="0" w:after="0"/>
        <w:ind w:left="0" w:right="0" w:hanging="0"/>
        <w:jc w:val="both"/>
        <w:rPr>
          <w:caps w:val="false"/>
          <w:smallCaps w:val="false"/>
        </w:rPr>
      </w:pPr>
      <w:r>
        <w:rPr>
          <w:caps w:val="false"/>
          <w:smallCaps w:val="false"/>
        </w:rPr>
        <w:t> </w:t>
      </w:r>
    </w:p>
    <w:tbl>
      <w:tblPr>
        <w:tblW w:w="5525" w:type="dxa"/>
        <w:jc w:val="left"/>
        <w:tblInd w:w="0" w:type="dxa"/>
        <w:tblLayout w:type="fixed"/>
        <w:tblCellMar>
          <w:top w:w="0" w:type="dxa"/>
          <w:left w:w="0" w:type="dxa"/>
          <w:bottom w:w="28" w:type="dxa"/>
          <w:right w:w="0" w:type="dxa"/>
        </w:tblCellMar>
      </w:tblPr>
      <w:tblGrid>
        <w:gridCol w:w="4340"/>
        <w:gridCol w:w="60"/>
        <w:gridCol w:w="140"/>
        <w:gridCol w:w="875"/>
        <w:gridCol w:w="110"/>
      </w:tblGrid>
      <w:tr>
        <w:trPr/>
        <w:tc>
          <w:tcPr>
            <w:tcW w:w="4340" w:type="dxa"/>
            <w:tcBorders>
              <w:bottom w:val="single" w:sz="12" w:space="0" w:color="000000"/>
            </w:tcBorders>
            <w:vAlign w:val="center"/>
          </w:tcPr>
          <w:p>
            <w:pPr>
              <w:pStyle w:val="TableContents"/>
              <w:bidi w:val="0"/>
              <w:spacing w:before="0" w:after="283"/>
              <w:jc w:val="left"/>
              <w:rPr>
                <w:b/>
              </w:rPr>
            </w:pPr>
            <w:r>
              <w:rPr>
                <w:b/>
              </w:rPr>
              <w:t>For the year ending</w:t>
            </w:r>
          </w:p>
        </w:tc>
        <w:tc>
          <w:tcPr>
            <w:tcW w:w="60" w:type="dxa"/>
            <w:tcBorders/>
            <w:tcMar>
              <w:bottom w:w="0" w:type="dxa"/>
            </w:tcMar>
            <w:vAlign w:val="center"/>
          </w:tcPr>
          <w:p>
            <w:pPr>
              <w:pStyle w:val="TableContents"/>
              <w:bidi w:val="0"/>
              <w:spacing w:before="0" w:after="283"/>
              <w:jc w:val="left"/>
              <w:rPr/>
            </w:pPr>
            <w:r>
              <w:rPr/>
              <w:t> </w:t>
            </w:r>
          </w:p>
        </w:tc>
        <w:tc>
          <w:tcPr>
            <w:tcW w:w="1015"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4340" w:type="dxa"/>
            <w:tcBorders/>
            <w:shd w:fill="CCEEFF" w:val="clear"/>
            <w:tcMar>
              <w:bottom w:w="0" w:type="dxa"/>
            </w:tcMar>
            <w:vAlign w:val="center"/>
          </w:tcPr>
          <w:p>
            <w:pPr>
              <w:pStyle w:val="TableContents"/>
              <w:bidi w:val="0"/>
              <w:spacing w:before="0" w:after="283"/>
              <w:jc w:val="left"/>
              <w:rPr/>
            </w:pPr>
            <w:r>
              <w:rPr/>
              <w:t>December 31, 2026 (remainder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120,000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40" w:type="dxa"/>
            <w:tcBorders/>
            <w:shd w:fill="FFFFFF" w:val="clear"/>
            <w:tcMar>
              <w:bottom w:w="0" w:type="dxa"/>
            </w:tcMar>
            <w:vAlign w:val="center"/>
          </w:tcPr>
          <w:p>
            <w:pPr>
              <w:pStyle w:val="TableContents"/>
              <w:bidi w:val="0"/>
              <w:spacing w:before="0" w:after="283"/>
              <w:jc w:val="left"/>
              <w:rPr/>
            </w:pPr>
            <w:r>
              <w:rPr/>
              <w:t>December 31,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190,000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40" w:type="dxa"/>
            <w:tcBorders/>
            <w:shd w:fill="CCEEFF" w:val="clear"/>
            <w:tcMar>
              <w:bottom w:w="0" w:type="dxa"/>
            </w:tcMar>
            <w:vAlign w:val="center"/>
          </w:tcPr>
          <w:p>
            <w:pPr>
              <w:pStyle w:val="TableContents"/>
              <w:bidi w:val="0"/>
              <w:spacing w:before="0" w:after="283"/>
              <w:jc w:val="left"/>
              <w:rPr/>
            </w:pPr>
            <w:r>
              <w:rPr/>
              <w:t>December 31,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190,000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40" w:type="dxa"/>
            <w:tcBorders/>
            <w:shd w:fill="FFFFFF" w:val="clear"/>
            <w:tcMar>
              <w:bottom w:w="0" w:type="dxa"/>
            </w:tcMar>
            <w:vAlign w:val="center"/>
          </w:tcPr>
          <w:p>
            <w:pPr>
              <w:pStyle w:val="TableContents"/>
              <w:bidi w:val="0"/>
              <w:spacing w:before="0" w:after="283"/>
              <w:jc w:val="left"/>
              <w:rPr/>
            </w:pPr>
            <w:r>
              <w:rPr/>
              <w:t>December 31, 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191,000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40" w:type="dxa"/>
            <w:tcBorders/>
            <w:shd w:fill="CCEEFF" w:val="clear"/>
            <w:tcMar>
              <w:bottom w:w="0" w:type="dxa"/>
            </w:tcMar>
            <w:vAlign w:val="center"/>
          </w:tcPr>
          <w:p>
            <w:pPr>
              <w:pStyle w:val="TableContents"/>
              <w:bidi w:val="0"/>
              <w:spacing w:before="0" w:after="283"/>
              <w:jc w:val="left"/>
              <w:rPr/>
            </w:pPr>
            <w:r>
              <w:rPr/>
              <w:t>December 31, 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pPr>
            <w:r>
              <w:rPr/>
              <w:t>74,000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40" w:type="dxa"/>
            <w:tcBorders/>
            <w:shd w:fill="FFFFFF" w:val="clear"/>
            <w:tcMar>
              <w:bottom w:w="0" w:type="dxa"/>
            </w:tcMar>
            <w:vAlign w:val="center"/>
          </w:tcPr>
          <w:p>
            <w:pPr>
              <w:pStyle w:val="TableContents"/>
              <w:bidi w:val="0"/>
              <w:spacing w:before="0" w:after="283"/>
              <w:jc w:val="left"/>
              <w:rPr/>
            </w:pPr>
            <w:r>
              <w:rPr/>
              <w:t>Total future minimum finance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765,000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40"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(99,000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340" w:type="dxa"/>
            <w:tcBorders/>
            <w:shd w:fill="FFFFFF" w:val="clear"/>
            <w:tcMar>
              <w:bottom w:w="0" w:type="dxa"/>
            </w:tcMar>
            <w:vAlign w:val="center"/>
          </w:tcPr>
          <w:p>
            <w:pPr>
              <w:pStyle w:val="TableContents"/>
              <w:bidi w:val="0"/>
              <w:spacing w:before="0" w:after="283"/>
              <w:jc w:val="left"/>
              <w:rPr/>
            </w:pPr>
            <w:r>
              <w:rPr/>
              <w:t>Less: 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pPr>
            <w:r>
              <w:rPr/>
              <w:t>(173,000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340" w:type="dxa"/>
            <w:tcBorders/>
            <w:shd w:fill="CCEEFF" w:val="clear"/>
            <w:tcMar>
              <w:bottom w:w="0" w:type="dxa"/>
            </w:tcMar>
            <w:vAlign w:val="center"/>
          </w:tcPr>
          <w:p>
            <w:pPr>
              <w:pStyle w:val="TableContents"/>
              <w:bidi w:val="0"/>
              <w:spacing w:before="0" w:after="283"/>
              <w:jc w:val="left"/>
              <w:rPr/>
            </w:pPr>
            <w:r>
              <w:rPr/>
              <w:t>Long-term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875" w:type="dxa"/>
            <w:tcBorders>
              <w:bottom w:val="double" w:sz="10" w:space="0" w:color="000000"/>
            </w:tcBorders>
            <w:shd w:fill="CCEEFF" w:val="clear"/>
            <w:vAlign w:val="center"/>
          </w:tcPr>
          <w:p>
            <w:pPr>
              <w:pStyle w:val="TableContents"/>
              <w:bidi w:val="0"/>
              <w:spacing w:before="0" w:after="283"/>
              <w:jc w:val="right"/>
              <w:rPr/>
            </w:pPr>
            <w:r>
              <w:rPr/>
              <w:t>493,000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Payable – Financed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the purchase of a delivery vehicle in July 2020. The loan obligation totaled $1,000 and $5,000 as of June 30, 2026 and December 31, 2025, respectively. The loan bears no interest and a final payment is due and payable for all unpaid principal on July 20,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maturities of this loan are as follows:</w:t>
      </w:r>
    </w:p>
    <w:p>
      <w:pPr>
        <w:pStyle w:val="TextBody"/>
        <w:bidi w:val="0"/>
        <w:spacing w:before="0" w:after="0"/>
        <w:ind w:left="0" w:right="0" w:hanging="0"/>
        <w:jc w:val="left"/>
        <w:rPr/>
      </w:pPr>
      <w:r>
        <w:rPr/>
        <w:t> </w:t>
      </w:r>
    </w:p>
    <w:tbl>
      <w:tblPr>
        <w:tblW w:w="4815" w:type="dxa"/>
        <w:jc w:val="left"/>
        <w:tblInd w:w="0" w:type="dxa"/>
        <w:tblLayout w:type="fixed"/>
        <w:tblCellMar>
          <w:top w:w="0" w:type="dxa"/>
          <w:left w:w="0" w:type="dxa"/>
          <w:bottom w:w="28" w:type="dxa"/>
          <w:right w:w="0" w:type="dxa"/>
        </w:tblCellMar>
      </w:tblPr>
      <w:tblGrid>
        <w:gridCol w:w="3785"/>
        <w:gridCol w:w="60"/>
        <w:gridCol w:w="155"/>
        <w:gridCol w:w="705"/>
        <w:gridCol w:w="110"/>
      </w:tblGrid>
      <w:tr>
        <w:trPr/>
        <w:tc>
          <w:tcPr>
            <w:tcW w:w="3785" w:type="dxa"/>
            <w:tcBorders>
              <w:bottom w:val="single" w:sz="12" w:space="0" w:color="000000"/>
            </w:tcBorders>
            <w:vAlign w:val="center"/>
          </w:tcPr>
          <w:p>
            <w:pPr>
              <w:pStyle w:val="TableContents"/>
              <w:bidi w:val="0"/>
              <w:spacing w:before="0" w:after="283"/>
              <w:jc w:val="left"/>
              <w:rPr>
                <w:b/>
              </w:rPr>
            </w:pPr>
            <w:r>
              <w:rPr>
                <w:b/>
              </w:rPr>
              <w:t>For the year ending</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3785" w:type="dxa"/>
            <w:tcBorders/>
            <w:shd w:fill="CCEEFF" w:val="clear"/>
            <w:tcMar>
              <w:bottom w:w="0" w:type="dxa"/>
            </w:tcMar>
            <w:vAlign w:val="center"/>
          </w:tcPr>
          <w:p>
            <w:pPr>
              <w:pStyle w:val="TableContents"/>
              <w:bidi w:val="0"/>
              <w:spacing w:before="0" w:after="283"/>
              <w:jc w:val="left"/>
              <w:rPr/>
            </w:pPr>
            <w:r>
              <w:rPr/>
              <w:t>December 31, 2026 (remainder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w:t>
            </w:r>
          </w:p>
        </w:tc>
        <w:tc>
          <w:tcPr>
            <w:tcW w:w="705" w:type="dxa"/>
            <w:tcBorders>
              <w:bottom w:val="single" w:sz="12" w:space="0" w:color="000000"/>
            </w:tcBorders>
            <w:shd w:fill="CCEEFF" w:val="clear"/>
            <w:vAlign w:val="center"/>
          </w:tcPr>
          <w:p>
            <w:pPr>
              <w:pStyle w:val="TableContents"/>
              <w:bidi w:val="0"/>
              <w:spacing w:before="0" w:after="283"/>
              <w:jc w:val="right"/>
              <w:rPr/>
            </w:pPr>
            <w:r>
              <w:rPr/>
              <w:t>1,000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785" w:type="dxa"/>
            <w:tcBorders/>
            <w:shd w:fill="FFFFFF" w:val="clear"/>
            <w:tcMar>
              <w:bottom w:w="0" w:type="dxa"/>
            </w:tcMar>
            <w:vAlign w:val="center"/>
          </w:tcPr>
          <w:p>
            <w:pPr>
              <w:pStyle w:val="TableContents"/>
              <w:bidi w:val="0"/>
              <w:spacing w:before="0" w:after="283"/>
              <w:jc w:val="left"/>
              <w:rPr/>
            </w:pPr>
            <w:r>
              <w:rPr/>
              <w:t>Loans Payable - financed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705" w:type="dxa"/>
            <w:tcBorders/>
            <w:shd w:fill="FFFFFF" w:val="clear"/>
            <w:tcMar>
              <w:bottom w:w="0" w:type="dxa"/>
            </w:tcMar>
            <w:vAlign w:val="center"/>
          </w:tcPr>
          <w:p>
            <w:pPr>
              <w:pStyle w:val="TableContents"/>
              <w:bidi w:val="0"/>
              <w:spacing w:before="0" w:after="283"/>
              <w:jc w:val="right"/>
              <w:rPr/>
            </w:pPr>
            <w:r>
              <w:rPr/>
              <w:t>1,000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785" w:type="dxa"/>
            <w:tcBorders/>
            <w:shd w:fill="CCEEFF" w:val="clear"/>
            <w:tcMar>
              <w:bottom w:w="0" w:type="dxa"/>
            </w:tcMar>
            <w:vAlign w:val="center"/>
          </w:tcPr>
          <w:p>
            <w:pPr>
              <w:pStyle w:val="TableContents"/>
              <w:bidi w:val="0"/>
              <w:spacing w:before="0" w:after="283"/>
              <w:jc w:val="left"/>
              <w:rPr/>
            </w:pPr>
            <w:r>
              <w:rPr/>
              <w:t>Less: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705" w:type="dxa"/>
            <w:tcBorders>
              <w:bottom w:val="single" w:sz="12" w:space="0" w:color="000000"/>
            </w:tcBorders>
            <w:shd w:fill="CCEEFF" w:val="clear"/>
            <w:vAlign w:val="center"/>
          </w:tcPr>
          <w:p>
            <w:pPr>
              <w:pStyle w:val="TableContents"/>
              <w:bidi w:val="0"/>
              <w:spacing w:before="0" w:after="283"/>
              <w:jc w:val="right"/>
              <w:rPr/>
            </w:pPr>
            <w:r>
              <w:rPr/>
              <w:t>(1,000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shd w:fill="FFFFFF" w:val="clear"/>
            <w:tcMar>
              <w:bottom w:w="0" w:type="dxa"/>
            </w:tcMar>
            <w:vAlign w:val="center"/>
          </w:tcPr>
          <w:p>
            <w:pPr>
              <w:pStyle w:val="TableContents"/>
              <w:bidi w:val="0"/>
              <w:spacing w:before="0" w:after="283"/>
              <w:jc w:val="left"/>
              <w:rPr/>
            </w:pPr>
            <w:r>
              <w:rPr/>
              <w:t>Long-term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double" w:sz="10" w:space="0" w:color="000000"/>
            </w:tcBorders>
            <w:shd w:fill="FFFFFF" w:val="clear"/>
            <w:vAlign w:val="center"/>
          </w:tcPr>
          <w:p>
            <w:pPr>
              <w:pStyle w:val="TableContents"/>
              <w:bidi w:val="0"/>
              <w:spacing w:before="0" w:after="283"/>
              <w:jc w:val="left"/>
              <w:rPr/>
            </w:pPr>
            <w:r>
              <w:rPr/>
              <w:t>$</w:t>
            </w:r>
          </w:p>
        </w:tc>
        <w:tc>
          <w:tcPr>
            <w:tcW w:w="705" w:type="dxa"/>
            <w:tcBorders>
              <w:bottom w:val="double" w:sz="10"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Taglich Brothers, Inc. is a corporation co-founded by two directors of the Company, Michael and Robert Taglich.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Taglich Brothers, Inc. has acted as placement agent for various debt and equity financing transactions and has received cash and equity compensation for their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2016 through 2020, the Company entered into various subordinated notes payable and convertible subordinated notes payable (together referred to as “Related Party Notes”) with Michael and Robert Taglich which generated proceeds to the Company totaling $6,550,000. In connection with the Related Party Notes, Michael and Robert Taglich were issued a total of 35,508 shares of common stock and Taglich Brothers Inc. was issued promissory notes totaling $554,000 for placement agency fees.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Eighth Amendment to the Current Credit Facility, the Company was allowed to make principal payments of up to $4,800,000 prior to June 30, 2026, with funds raised in the Company’s At The Market Offering. For the three and six month periods ended June 30, 2025, the Company paid $1,291,000 of principal payments. Of the $1,291,000 paid, $1,050,000 was paid to Michael Taglich and $241,000 was paid to Taglich Brothers,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Notes outstanding as of June 30, 2026 and December 31, 2025 consist of:</w:t>
      </w:r>
    </w:p>
    <w:p>
      <w:pPr>
        <w:pStyle w:val="TextBody"/>
        <w:bidi w:val="0"/>
        <w:spacing w:before="0" w:after="0"/>
        <w:ind w:left="0" w:right="0" w:hanging="0"/>
        <w:jc w:val="both"/>
        <w:rPr>
          <w:caps w:val="false"/>
          <w:smallCaps w:val="false"/>
        </w:rPr>
      </w:pPr>
      <w:r>
        <w:rPr>
          <w:caps w:val="false"/>
          <w:smallCaps w:val="false"/>
        </w:rPr>
        <w:t> </w:t>
      </w:r>
    </w:p>
    <w:tbl>
      <w:tblPr>
        <w:tblW w:w="9837" w:type="dxa"/>
        <w:jc w:val="left"/>
        <w:tblInd w:w="0" w:type="dxa"/>
        <w:tblLayout w:type="fixed"/>
        <w:tblCellMar>
          <w:top w:w="0" w:type="dxa"/>
          <w:left w:w="0" w:type="dxa"/>
          <w:bottom w:w="0" w:type="dxa"/>
          <w:right w:w="0" w:type="dxa"/>
        </w:tblCellMar>
      </w:tblPr>
      <w:tblGrid>
        <w:gridCol w:w="3080"/>
        <w:gridCol w:w="60"/>
        <w:gridCol w:w="214"/>
        <w:gridCol w:w="1500"/>
        <w:gridCol w:w="60"/>
        <w:gridCol w:w="60"/>
        <w:gridCol w:w="203"/>
        <w:gridCol w:w="1421"/>
        <w:gridCol w:w="60"/>
        <w:gridCol w:w="60"/>
        <w:gridCol w:w="423"/>
        <w:gridCol w:w="1381"/>
        <w:gridCol w:w="60"/>
        <w:gridCol w:w="60"/>
        <w:gridCol w:w="140"/>
        <w:gridCol w:w="980"/>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center"/>
              <w:rPr>
                <w:b/>
              </w:rPr>
            </w:pPr>
            <w:r>
              <w:rPr>
                <w:b/>
              </w:rPr>
              <w:t>Michael Taglich,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vAlign w:val="center"/>
          </w:tcPr>
          <w:p>
            <w:pPr>
              <w:pStyle w:val="TableContents"/>
              <w:bidi w:val="0"/>
              <w:spacing w:before="0" w:after="283"/>
              <w:jc w:val="center"/>
              <w:rPr>
                <w:b/>
              </w:rPr>
            </w:pPr>
            <w:r>
              <w:rPr>
                <w:b/>
              </w:rPr>
              <w:t>Robert Taglich,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center"/>
              <w:rPr>
                <w:b/>
              </w:rPr>
            </w:pPr>
            <w:r>
              <w:rPr>
                <w:b/>
              </w:rPr>
              <w:t>Taglich Brothers,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Director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Director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Convertible Subordinated Notes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500" w:type="dxa"/>
            <w:tcBorders/>
            <w:shd w:fill="CCEEFF" w:val="clear"/>
            <w:vAlign w:val="center"/>
          </w:tcPr>
          <w:p>
            <w:pPr>
              <w:pStyle w:val="TableContents"/>
              <w:bidi w:val="0"/>
              <w:spacing w:before="0" w:after="283"/>
              <w:jc w:val="right"/>
              <w:rPr/>
            </w:pPr>
            <w:r>
              <w:rPr/>
              <w:t>2,416,000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421" w:type="dxa"/>
            <w:tcBorders/>
            <w:shd w:fill="CCEEFF" w:val="clear"/>
            <w:vAlign w:val="center"/>
          </w:tcPr>
          <w:p>
            <w:pPr>
              <w:pStyle w:val="TableContents"/>
              <w:bidi w:val="0"/>
              <w:spacing w:before="0" w:after="283"/>
              <w:jc w:val="right"/>
              <w:rPr/>
            </w:pPr>
            <w:r>
              <w:rPr/>
              <w:t>1,905,000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w:t>
            </w:r>
          </w:p>
        </w:tc>
        <w:tc>
          <w:tcPr>
            <w:tcW w:w="13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4,321,000</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Subordinated Notes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1" w:type="dxa"/>
            <w:tcBorders>
              <w:bottom w:val="single" w:sz="12" w:space="0" w:color="000000"/>
            </w:tcBorders>
            <w:shd w:fill="FFFFFF" w:val="clear"/>
            <w:tcMar>
              <w:bottom w:w="28" w:type="dxa"/>
            </w:tcMar>
            <w:vAlign w:val="center"/>
          </w:tcPr>
          <w:p>
            <w:pPr>
              <w:pStyle w:val="TableContents"/>
              <w:bidi w:val="0"/>
              <w:spacing w:before="0" w:after="283"/>
              <w:jc w:val="right"/>
              <w:rPr/>
            </w:pPr>
            <w:r>
              <w:rPr/>
              <w:t>550,000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550,000</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00" w:type="dxa"/>
            <w:tcBorders>
              <w:bottom w:val="double" w:sz="10" w:space="0" w:color="000000"/>
            </w:tcBorders>
            <w:shd w:fill="CCEEFF" w:val="clear"/>
            <w:tcMar>
              <w:bottom w:w="28" w:type="dxa"/>
            </w:tcMar>
            <w:vAlign w:val="center"/>
          </w:tcPr>
          <w:p>
            <w:pPr>
              <w:pStyle w:val="TableContents"/>
              <w:bidi w:val="0"/>
              <w:spacing w:before="0" w:after="283"/>
              <w:jc w:val="right"/>
              <w:rPr/>
            </w:pPr>
            <w:r>
              <w:rPr/>
              <w:t>2,416,000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21" w:type="dxa"/>
            <w:tcBorders>
              <w:bottom w:val="double" w:sz="10" w:space="0" w:color="000000"/>
            </w:tcBorders>
            <w:shd w:fill="CCEEFF" w:val="clear"/>
            <w:tcMar>
              <w:bottom w:w="28" w:type="dxa"/>
            </w:tcMar>
            <w:vAlign w:val="center"/>
          </w:tcPr>
          <w:p>
            <w:pPr>
              <w:pStyle w:val="TableContents"/>
              <w:bidi w:val="0"/>
              <w:spacing w:before="0" w:after="283"/>
              <w:jc w:val="right"/>
              <w:rPr/>
            </w:pPr>
            <w:r>
              <w:rPr/>
              <w:t>2,455,000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81"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4,871,000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the $4,871,000, approximately $2,519,000 bears an annual rate of interest of 6%, $1,802,000 bears an annual rate of 7% and $550,000 bears an annual interest rate of 12%. Interest expense for the three months ended June 30, 2026 and 2025 on all related party notes payable was $86,000 and $86,000, respectively, and $172,000 and $185,000 for the six months ended June 30, 2026 and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Approximately $2,519,000 of the convertible subordinated notes can be converted at the option of the holder into Common Stock of the Company at $15.00 per share, while the remaining $1,802,000 of the convertible subordinated notes can be converted at the option of the holder into common stock of the Company at $9.30 per share. There are no principal payments due prior to October 1,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Notes are subordinate to outstanding debt pursuant to the Current Credit Facility and mature on October 1, 2026. The Company is actively engaged in constructive discussions with Michael and Robert Taglich with respect to an extension of the Related Party Notes to a date after the Outside Date, as defined in the Amendment to the A&amp;R Merger Agreement (as defined in “Note 11. Merger Information”). While these discussions have been professional and remain ongoing, there can be no assurance that agreements will be 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 Issuance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4,484 and 12,950 shares of common stock in payment of director fees totaling $14,000 and $39,000 for the three months ended June 30, 2026 and 2025, respectively, and 9,084 and 22,135 shares totaling $28,000 and $78,000 for the six months ended June 30, 2026 and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April of 2026, the Company issued 57,345 shares of common stock upon the vesting of Restricted Stock Units (“RSUs”) to certain employees and withheld the balance of the 94,210 RSUs in satisfaction of tax withholding obligations. This represents a portion of the RSUs granted in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during April of 2026, the Company issued 7,775 shares of common stock upon the vesting of RSUs to a former executive pursuant to a separation agreement and withheld the balance of the 12,159 RSUs in satisfaction of withholding tax obligations. This represents a portion of the RSUs granted in February of 2026. See “Note 7. Stock Options and Restricted Stock Units”.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STOCK OPTIONS AND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2025, the shareholders of the Company approved the amendment to the 2022 Equity Incentive Plan (“2022 Plan”) to increase the number of shares authorized to be used under the plan by 250,000 shares, from 650,000 shares to 900,000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recorded stock-based compensation expense for certain employees and members of the Company’s Board of Directors of $8,000 and $4,000 for the three months ended June 30, 2026 and 2025, respectively, and $35,000 and $22,000 for the six months ended June 30, 2026 and 2025, respectively, in its condensed consolidated statements of operations, and such amounts were included as a component of operating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the Company’s stock options as of June 30, 2026 and December 31, 2025, and changes during the periods then ended are presented below:</w:t>
      </w:r>
    </w:p>
    <w:p>
      <w:pPr>
        <w:pStyle w:val="TextBody"/>
        <w:bidi w:val="0"/>
        <w:spacing w:before="0" w:after="0"/>
        <w:ind w:left="0" w:right="0" w:hanging="0"/>
        <w:jc w:val="left"/>
        <w:rPr>
          <w:caps w:val="false"/>
          <w:smallCaps w:val="false"/>
        </w:rPr>
      </w:pPr>
      <w:r>
        <w:rPr>
          <w:caps w:val="false"/>
          <w:smallCaps w:val="false"/>
        </w:rPr>
        <w:t> </w:t>
      </w:r>
    </w:p>
    <w:tbl>
      <w:tblPr>
        <w:tblW w:w="5825" w:type="dxa"/>
        <w:jc w:val="left"/>
        <w:tblInd w:w="0" w:type="dxa"/>
        <w:tblLayout w:type="fixed"/>
        <w:tblCellMar>
          <w:top w:w="0" w:type="dxa"/>
          <w:left w:w="0" w:type="dxa"/>
          <w:bottom w:w="0" w:type="dxa"/>
          <w:right w:w="0" w:type="dxa"/>
        </w:tblCellMar>
      </w:tblPr>
      <w:tblGrid>
        <w:gridCol w:w="3605"/>
        <w:gridCol w:w="60"/>
        <w:gridCol w:w="60"/>
        <w:gridCol w:w="800"/>
        <w:gridCol w:w="95"/>
        <w:gridCol w:w="60"/>
        <w:gridCol w:w="214"/>
        <w:gridCol w:w="856"/>
        <w:gridCol w:w="75"/>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Wtd. Avg.</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Exercise</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7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417,003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Granted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3.00</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Exercised during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Terminated/Expired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(51,300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10.57</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425,703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6.01</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Granted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Exercised during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Terminated/Expired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(30,250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13.90</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Balance,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395,453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5.40</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Exercisable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395,453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5.40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outstanding stock options at June 30, 2026:</w:t>
      </w:r>
    </w:p>
    <w:p>
      <w:pPr>
        <w:pStyle w:val="TextBody"/>
        <w:bidi w:val="0"/>
        <w:spacing w:before="0" w:after="0"/>
        <w:ind w:left="0" w:right="0" w:hanging="0"/>
        <w:jc w:val="left"/>
        <w:rPr>
          <w:caps w:val="false"/>
          <w:smallCaps w:val="false"/>
        </w:rPr>
      </w:pPr>
      <w:r>
        <w:rPr>
          <w:caps w:val="false"/>
          <w:smallCaps w:val="false"/>
        </w:rPr>
        <w:t> </w:t>
      </w:r>
    </w:p>
    <w:tbl>
      <w:tblPr>
        <w:tblW w:w="6979" w:type="dxa"/>
        <w:jc w:val="left"/>
        <w:tblInd w:w="0" w:type="dxa"/>
        <w:tblLayout w:type="fixed"/>
        <w:tblCellMar>
          <w:top w:w="0" w:type="dxa"/>
          <w:left w:w="0" w:type="dxa"/>
          <w:bottom w:w="0" w:type="dxa"/>
          <w:right w:w="0" w:type="dxa"/>
        </w:tblCellMar>
      </w:tblPr>
      <w:tblGrid>
        <w:gridCol w:w="2450"/>
        <w:gridCol w:w="60"/>
        <w:gridCol w:w="89"/>
        <w:gridCol w:w="1191"/>
        <w:gridCol w:w="60"/>
        <w:gridCol w:w="60"/>
        <w:gridCol w:w="1475"/>
        <w:gridCol w:w="60"/>
        <w:gridCol w:w="352"/>
        <w:gridCol w:w="1107"/>
        <w:gridCol w:w="75"/>
      </w:tblGrid>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Wtd. Avg.</w:t>
            </w:r>
          </w:p>
        </w:tc>
        <w:tc>
          <w:tcPr>
            <w:tcW w:w="75" w:type="dxa"/>
            <w:tcBorders/>
            <w:vAlign w:val="center"/>
          </w:tcPr>
          <w:p>
            <w:pPr>
              <w:pStyle w:val="TableContents"/>
              <w:bidi w:val="0"/>
              <w:spacing w:before="0" w:after="283"/>
              <w:jc w:val="left"/>
              <w:rPr/>
            </w:pPr>
            <w:r>
              <w:rPr/>
              <w:t> </w:t>
            </w:r>
          </w:p>
        </w:tc>
      </w:tr>
      <w:tr>
        <w:trPr/>
        <w:tc>
          <w:tcPr>
            <w:tcW w:w="2450" w:type="dxa"/>
            <w:tcBorders>
              <w:bottom w:val="single" w:sz="12" w:space="0" w:color="000000"/>
            </w:tcBorders>
            <w:tcMar>
              <w:bottom w:w="28" w:type="dxa"/>
            </w:tcMar>
            <w:vAlign w:val="center"/>
          </w:tcPr>
          <w:p>
            <w:pPr>
              <w:pStyle w:val="TableContents"/>
              <w:bidi w:val="0"/>
              <w:spacing w:before="0" w:after="283"/>
              <w:jc w:val="center"/>
              <w:rPr>
                <w:b/>
              </w:rPr>
            </w:pPr>
            <w:r>
              <w:rPr>
                <w:b/>
              </w:rPr>
              <w:t>Range of Exercise Price</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bottom w:val="single" w:sz="12" w:space="0" w:color="000000"/>
            </w:tcBorders>
            <w:tcMar>
              <w:bottom w:w="28" w:type="dxa"/>
            </w:tcMar>
            <w:vAlign w:val="center"/>
          </w:tcPr>
          <w:p>
            <w:pPr>
              <w:pStyle w:val="TableContents"/>
              <w:bidi w:val="0"/>
              <w:spacing w:before="0" w:after="283"/>
              <w:jc w:val="center"/>
              <w:rPr>
                <w:b/>
              </w:rPr>
            </w:pPr>
            <w:r>
              <w:rPr>
                <w:b/>
              </w:rPr>
              <w:t>Wtd.Avg, Life</w:t>
            </w:r>
          </w:p>
        </w:tc>
        <w:tc>
          <w:tcPr>
            <w:tcW w:w="6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Exercise Price</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center"/>
              <w:rPr/>
            </w:pPr>
            <w:r>
              <w:rPr/>
              <w:t>$3.00 - $23.80</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395,453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1.8 Years</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5.40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outstanding stock options at December 31, 2025:</w:t>
      </w:r>
    </w:p>
    <w:p>
      <w:pPr>
        <w:pStyle w:val="TextBody"/>
        <w:bidi w:val="0"/>
        <w:spacing w:before="0" w:after="0"/>
        <w:ind w:left="0" w:right="0" w:hanging="0"/>
        <w:jc w:val="left"/>
        <w:rPr>
          <w:caps w:val="false"/>
          <w:smallCaps w:val="false"/>
        </w:rPr>
      </w:pPr>
      <w:r>
        <w:rPr>
          <w:caps w:val="false"/>
          <w:smallCaps w:val="false"/>
        </w:rPr>
        <w:t> </w:t>
      </w:r>
    </w:p>
    <w:tbl>
      <w:tblPr>
        <w:tblW w:w="6979" w:type="dxa"/>
        <w:jc w:val="left"/>
        <w:tblInd w:w="0" w:type="dxa"/>
        <w:tblLayout w:type="fixed"/>
        <w:tblCellMar>
          <w:top w:w="0" w:type="dxa"/>
          <w:left w:w="0" w:type="dxa"/>
          <w:bottom w:w="0" w:type="dxa"/>
          <w:right w:w="0" w:type="dxa"/>
        </w:tblCellMar>
      </w:tblPr>
      <w:tblGrid>
        <w:gridCol w:w="2450"/>
        <w:gridCol w:w="60"/>
        <w:gridCol w:w="89"/>
        <w:gridCol w:w="1191"/>
        <w:gridCol w:w="60"/>
        <w:gridCol w:w="60"/>
        <w:gridCol w:w="1475"/>
        <w:gridCol w:w="60"/>
        <w:gridCol w:w="352"/>
        <w:gridCol w:w="1107"/>
        <w:gridCol w:w="75"/>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Wtd. Avg.</w:t>
            </w:r>
          </w:p>
        </w:tc>
        <w:tc>
          <w:tcPr>
            <w:tcW w:w="75" w:type="dxa"/>
            <w:tcBorders/>
            <w:vAlign w:val="center"/>
          </w:tcPr>
          <w:p>
            <w:pPr>
              <w:pStyle w:val="TableContents"/>
              <w:bidi w:val="0"/>
              <w:spacing w:before="0" w:after="283"/>
              <w:jc w:val="left"/>
              <w:rPr/>
            </w:pPr>
            <w:r>
              <w:rPr/>
              <w:t> </w:t>
            </w:r>
          </w:p>
        </w:tc>
      </w:tr>
      <w:tr>
        <w:trPr/>
        <w:tc>
          <w:tcPr>
            <w:tcW w:w="2450" w:type="dxa"/>
            <w:tcBorders>
              <w:bottom w:val="single" w:sz="12" w:space="0" w:color="000000"/>
            </w:tcBorders>
            <w:tcMar>
              <w:bottom w:w="28" w:type="dxa"/>
            </w:tcMar>
            <w:vAlign w:val="center"/>
          </w:tcPr>
          <w:p>
            <w:pPr>
              <w:pStyle w:val="TableContents"/>
              <w:bidi w:val="0"/>
              <w:spacing w:before="0" w:after="283"/>
              <w:jc w:val="center"/>
              <w:rPr>
                <w:b/>
              </w:rPr>
            </w:pPr>
            <w:r>
              <w:rPr>
                <w:b/>
              </w:rPr>
              <w:t>Range of Exercise Price</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bottom w:val="single" w:sz="12" w:space="0" w:color="000000"/>
            </w:tcBorders>
            <w:tcMar>
              <w:bottom w:w="28" w:type="dxa"/>
            </w:tcMar>
            <w:vAlign w:val="center"/>
          </w:tcPr>
          <w:p>
            <w:pPr>
              <w:pStyle w:val="TableContents"/>
              <w:bidi w:val="0"/>
              <w:spacing w:before="0" w:after="283"/>
              <w:jc w:val="center"/>
              <w:rPr>
                <w:b/>
              </w:rPr>
            </w:pPr>
            <w:r>
              <w:rPr>
                <w:b/>
              </w:rPr>
              <w:t>Wtd.Avg, Life</w:t>
            </w:r>
          </w:p>
        </w:tc>
        <w:tc>
          <w:tcPr>
            <w:tcW w:w="6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Exercise Price</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center"/>
              <w:rPr/>
            </w:pPr>
            <w:r>
              <w:rPr/>
              <w:t>$3.00 - $23.80</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425,703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2.5 Years</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6.01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was $0 of unrecognized compensation cost related to non-vested stock option awards.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intrinsic value at June 30, 2026 based on the Company’s closing stock price of $3.02 was $0. The aggregate intrinsic value at December 31, 2025 based on the Company’s closing stock price of $4.07 was approximately $121,000. The aggregate intrinsic value was calculated based on the positive difference between the closing market price of the Company’s Common Stock and the exercise prices of the underlying options.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Units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and 2025, the Company granted 243,172 and 0 RSUs to certain employees and directors. These RSUs vested immediately.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the Company’s RSUs as of June 30, 2026 is presented below.</w:t>
      </w:r>
    </w:p>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950"/>
        <w:gridCol w:w="60"/>
        <w:gridCol w:w="111"/>
        <w:gridCol w:w="1618"/>
        <w:gridCol w:w="95"/>
        <w:gridCol w:w="60"/>
        <w:gridCol w:w="366"/>
        <w:gridCol w:w="1153"/>
        <w:gridCol w:w="7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9" w:type="dxa"/>
            <w:gridSpan w:val="2"/>
            <w:tcBorders/>
            <w:vAlign w:val="center"/>
          </w:tcPr>
          <w:p>
            <w:pPr>
              <w:pStyle w:val="TableContents"/>
              <w:bidi w:val="0"/>
              <w:spacing w:before="0" w:after="283"/>
              <w:jc w:val="center"/>
              <w:rPr>
                <w:b/>
              </w:rPr>
            </w:pPr>
            <w:r>
              <w:rPr>
                <w:b/>
              </w:rPr>
              <w:t>Wtd. Avg.</w:t>
            </w:r>
          </w:p>
        </w:tc>
        <w:tc>
          <w:tcPr>
            <w:tcW w:w="7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Grant Date</w:t>
              <w:br/>
              <w:t>Fair Value per</w:t>
              <w:br/>
              <w:t>Unit</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Unvested units as of January 1, 2025</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282,628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6.06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Granted during the period</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Vested during the period</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(95,210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6.06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Forfeited during the period</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18" w:type="dxa"/>
            <w:tcBorders>
              <w:bottom w:val="single" w:sz="12" w:space="0" w:color="000000"/>
            </w:tcBorders>
            <w:shd w:fill="FFFFFF" w:val="clear"/>
            <w:tcMar>
              <w:bottom w:w="28" w:type="dxa"/>
            </w:tcM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Unvested Units as of December 31, 2025</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18" w:type="dxa"/>
            <w:tcBorders>
              <w:bottom w:val="double" w:sz="10" w:space="0" w:color="000000"/>
            </w:tcBorders>
            <w:shd w:fill="CCEEFF" w:val="clear"/>
            <w:tcMar>
              <w:bottom w:w="28" w:type="dxa"/>
            </w:tcMar>
            <w:vAlign w:val="center"/>
          </w:tcPr>
          <w:p>
            <w:pPr>
              <w:pStyle w:val="TableContents"/>
              <w:bidi w:val="0"/>
              <w:spacing w:before="0" w:after="283"/>
              <w:jc w:val="right"/>
              <w:rPr/>
            </w:pPr>
            <w:r>
              <w:rPr/>
              <w:t>188,418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3" w:type="dxa"/>
            <w:tcBorders>
              <w:bottom w:val="double" w:sz="10" w:space="0" w:color="000000"/>
            </w:tcBorders>
            <w:shd w:fill="CCEEFF" w:val="clear"/>
            <w:tcMar>
              <w:bottom w:w="28" w:type="dxa"/>
            </w:tcMar>
            <w:vAlign w:val="center"/>
          </w:tcPr>
          <w:p>
            <w:pPr>
              <w:pStyle w:val="TableContents"/>
              <w:bidi w:val="0"/>
              <w:spacing w:before="0" w:after="283"/>
              <w:jc w:val="right"/>
              <w:rPr/>
            </w:pPr>
            <w:r>
              <w:rPr/>
              <w:t>6.06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Granted during the period</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243,172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w:t>
            </w:r>
          </w:p>
        </w:tc>
        <w:tc>
          <w:tcPr>
            <w:tcW w:w="1153" w:type="dxa"/>
            <w:tcBorders/>
            <w:shd w:fill="FFFFFF" w:val="clear"/>
            <w:vAlign w:val="center"/>
          </w:tcPr>
          <w:p>
            <w:pPr>
              <w:pStyle w:val="TableContents"/>
              <w:bidi w:val="0"/>
              <w:spacing w:before="0" w:after="283"/>
              <w:jc w:val="right"/>
              <w:rPr/>
            </w:pPr>
            <w:r>
              <w:rPr/>
              <w:t>6.06</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Vested during the period</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(337,382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3.99</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Forfeited during the period</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18" w:type="dxa"/>
            <w:tcBorders>
              <w:bottom w:val="single" w:sz="12" w:space="0" w:color="000000"/>
            </w:tcBorders>
            <w:shd w:fill="FFFFFF" w:val="clear"/>
            <w:tcMar>
              <w:bottom w:w="28" w:type="dxa"/>
            </w:tcMar>
            <w:vAlign w:val="center"/>
          </w:tcPr>
          <w:p>
            <w:pPr>
              <w:pStyle w:val="TableContents"/>
              <w:bidi w:val="0"/>
              <w:spacing w:before="0" w:after="283"/>
              <w:jc w:val="right"/>
              <w:rPr/>
            </w:pPr>
            <w:r>
              <w:rPr/>
              <w:t>(34,122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Unvested Units as of June 30, 2026</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18" w:type="dxa"/>
            <w:tcBorders>
              <w:bottom w:val="double" w:sz="10" w:space="0" w:color="000000"/>
            </w:tcBorders>
            <w:shd w:fill="CCEEFF" w:val="clear"/>
            <w:tcMar>
              <w:bottom w:w="28" w:type="dxa"/>
            </w:tcMar>
            <w:vAlign w:val="center"/>
          </w:tcPr>
          <w:p>
            <w:pPr>
              <w:pStyle w:val="TableContents"/>
              <w:bidi w:val="0"/>
              <w:spacing w:before="0" w:after="283"/>
              <w:jc w:val="right"/>
              <w:rPr/>
            </w:pPr>
            <w:r>
              <w:rPr/>
              <w:t>60,086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3" w:type="dxa"/>
            <w:tcBorders>
              <w:bottom w:val="double" w:sz="10" w:space="0" w:color="000000"/>
            </w:tcBorders>
            <w:shd w:fill="CCEEFF" w:val="clear"/>
            <w:tcMar>
              <w:bottom w:w="28" w:type="dxa"/>
            </w:tcMar>
            <w:vAlign w:val="center"/>
          </w:tcPr>
          <w:p>
            <w:pPr>
              <w:pStyle w:val="TableContents"/>
              <w:bidi w:val="0"/>
              <w:spacing w:before="0" w:after="283"/>
              <w:jc w:val="right"/>
              <w:rPr/>
            </w:pPr>
            <w:r>
              <w:rPr/>
              <w:t>6.06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Vested as of June 30, 2026</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432,592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4.45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recorded stock-based compensation expense of $(88,000) and $153,000 for the three months ended June 30, 2026 and 2025, respectively, and $835,000 and $570,000 for the six months ended June 30, 2026 and 2025, respectively, in its condensed consolidated statements of operations, and such amounts were included as a component of operating expenses. The negative expense was a result of the forfeiture of RSUs during the three and six months ended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RSUs which were granted in 2024 and vested during the second quarter ended June 30, 2026 was $338,000. All of the RSUs vested were net settled such that the Company withheld shares with a value equivalent to the employees’ obligation for the applicable income and other employment taxes, and remitted cash to the appropriate taxing authorities. The total shares withheld were 41,249 and were valued on their vesting date as determined by the Company’s closing stock price. Payments to taxing authorities for tax obligations totaled $131,000.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was $108,000 of unrecognized compensation cost related to non-vested RSUs, which is to be recognized over the remaining weighted average vesting period of 0.75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 2018, Contract Pharmacal Corp. (“Contract Pharmacal”) commenced an action, relating to a Sublease entered into between Air (the Company) and Contract Pharmacal in May 2018.  This sublease involved property that had been occupied by the Company’s subsidiary WMI, the property address was 110 Plant Avenue, Hauppauge, New York.  In the action, Contract Pharmacal sought damages for an amount in excess of $1,000,000 for the Company’s alleged violation of the terms of the subject sublease, this alleged violation specifically involved the failure to make the entire premises available by what Contract Pharmacal claims was the Sublease commencement date. The validity of the action is extremely suspect in that the subject sublease had no specific commencement date and Contract Pharmacal ultimately received all the space covered by the sublease. Court ordered discovery was conducted and following same Contract Pharmacal moved for summary judgement and to amend its complaint to add a new cause of action.  The company opposed that motion.  On July 8, 2021, the Court denied Contract Pharmacal’s motion for summary judgement and to add an additional cause of action. In the Order, the Court granted Contract Pharmacal’s Motions to drop its claim for specific performance and to amend its Complaint to reduce its claim for damages to $700,000, both of which benefit the Company. Following the Court’s decision, Contract Pharmacal filed a Motion to reargue its original motion which the Company opposed. The Court denied that motion on November 30, 2021. Then on March 10, 2022, Contract Pharmacal filed an appeal of the Court’s decision with the Appellate Division of the State of New York. The Company opposed that appeal. The Company was again successful as the Appellate Division upheld the lower court’s denial of Contract Pharmacal’s motion for summary judgement and its motion to amend its Complaint. Contract Pharmacal has now submitted a motion to the Appellate Division requesting leave to reargue the court’s denial of its original appeal. The Company did oppose that motion. The Appellate Division has yet to act in respect to Contract Pharmacal’s most recent motion to reargue the Court’s denial of the original appeal. The Company continues to dispute the validity of the claims asserted by Contract Pharmacal and intends to contest them vigorously.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no decision has ever been rendered by the Appellate Division, the trial court attempted to move the case forward by conducting numerous settlement conferences.  Due to the unreasonable nature of Contract Pharmacal’s demands in light of the strength of their case no settlement occurred.   As a result, the court ordered the matter to proceed.  Since that last court appearance in January of 2026 the action has stalled.  This stall is the direct result of Contract Pharmacal’s refusal to appear for depositions as ordered by the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engaged in various lawsuits and legal proceedings in the ordinary course of business. The Company is currently not aware of any legal proceedings, the ultimate outcome of which, in its judgment based on information currently available, would have a material adverse effect on its business, financial condition or operating results. In consultation with legal counsel, there are no proceedings in which any of the Company’s directors, officers or affiliates, or any registered or beneficial stockholder of its common stock, is an adverse party or has a material interest adverse to our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recorded $18,000 and $0 for income tax expense for the three and six months ended June 30, 2026 and 2025 respectively. The amount paid in 2026 is related to state taxes in a specific jurisdiction. In 2025, the estimated annual effective tax rate was zero. In determining the estimated annual effective income tax rate, the Company analyzes various factors, including projections of the Company’s annual earnings and taxing jurisdictions in which the earnings will be generated, the impact of state and local income taxes, the ability to use tax credits and net operating loss carry forwards, and available tax planning alternatives.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provided a full valuation allowance against its net deferred tax assets since the Company believes it is more likely than not that its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one operating segment. The Company’s Chief Operating Decision Maker (“CODM”) is its Chief Executive Officer, who reviews financial information presented on a consolidated basis. The CODM used consolidated sales, gross margin and net income (loss) to assess financial performance and allocate resources. These financial metrics are used by the CODM to make key operating decisions, such as the need to allocate its budget to operating expenses and invest in additional equipment. The segment assets are equal to the assets presented in the condensed consolidated balance sheets.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expenses that are regularly provided to the CODM are disclosed in the consolidated statements of operations as a part of the condensed consolidated net income (loss). See the condensed consolidated financial statements for all financial information regarding the Company’s operating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revenues of the Company are earned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tangible assets, as well as the Company’s operating lease right-of use assets recognized on the Condensed Consolidated Balance Sheets were located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MERGER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2026, the Company and Transitory Air Sub LLC</w:t>
      </w:r>
      <w:r>
        <w:rPr>
          <w:rFonts w:ascii="Times New Roman;Times;Serif" w:hAnsi="Times New Roman;Times;Serif"/>
          <w:b w:val="false"/>
          <w:i w:val="false"/>
          <w:caps/>
          <w:sz w:val="20"/>
        </w:rPr>
        <w:t xml:space="preserve">, </w:t>
      </w:r>
      <w:r>
        <w:rPr>
          <w:rFonts w:ascii="Times New Roman;Times;Serif" w:hAnsi="Times New Roman;Times;Serif"/>
          <w:b w:val="false"/>
          <w:i w:val="false"/>
          <w:caps w:val="false"/>
          <w:smallCaps w:val="false"/>
          <w:sz w:val="20"/>
        </w:rPr>
        <w:t xml:space="preserve">its wholly owned subsidiary (“Merger Sub”), entered into an Agreement and Plan of Merger (the “Original Merger Agreement”) with Tenax Aerospace Acquisition, LLC, a Delaware limited liability company (“Tenax”), pursuant to which the Company agreed to combine with Tenax and issue shares of the Company’s common stock to the holders of the membership interests of Tenax (the “Tenax Members”) at the closing of the merger based on a calculation of AIR Net Indebtedness (as defined in the Original Merger Agreement). On June 2, 2026, Air Industries Machining Corp. received a payment of $1,971,070 (the “Advance”), from one of its customers for product to be delivered after receipt of the Advance. Subsequently, on June 8, 2026, the Company, Merger Sub and Tenax entered into an amendment (“Amendment No. 1”) to the Original Merger Agreement, which amended the definition of AIR Net Indebtedness (as defined in the Original Merger Agreement) to mitigate the impact of the Advance on the calculation of AIR Net Indebtedness and thereby the number of shares of common stock to be issued pursuant to the Original Merger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the Company, Merger Sub and Tenax entered into an Amended and Restated Agreement and Plan of Merger (the “A&amp;R Merger Agreement”), which amended and restated the Original Merger Agreement, as amended by Amendment No. 1, in its entirety. Pursuant to the A&amp;R Merger Agreement, Merger Sub will merge with and into Tenax, with Tenax continuing as the surviving company in such merger (the “Merger”) and becoming a wholly-owned subsidiary of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A&amp;R Merger Agreement, the Company will issue 126,900,000 shares of the Company’s common stock (25,380,000 shares after giving effect to a 1 for 5 Reverse Stock Split described herein) (the “Merger Consideration”) to the Tenax Members in connection with the Merger. A portion of the Merger Consideration allocated in respect of membership interests of Tenax underlying certain Tenax warrants that remain unexercised as of the closing, if any, will be reserved by the Company for future issuance upon the exercise of such warrants. The A&amp;R Merger Agreement further provides that the Debt Adjusted AIR Share Price (as defined in the A&amp;R Merger Agreement) shall be $3.05 ($15.25 after giving effect to a 1 for 5 Reverse Stock Split described herein). Each of the Merger Consideration and the Debt Adjusted AIR Share Price is subject to appropriate and equitable adjustment in the event of any subdivision, stock dividend or stock split, combination, recapitalization, exchange or reclassification of the Company’s common stock prior to the closing, including the 1 for 5 Reverse Stock Split described herein. Following the closing, the Tenax Members will collectively own approximately 96% of outstanding Company common stock, and the Company’s stockholders as of immediately prior to the closing will collectively own approximately 4% of outstanding Company common stock.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A&amp;R Merger Agreement requires the Company to amend its articles of incorporation (the “AIR Charter Amendment”) to increase the number of authorized shares of the Company’s common stock from 20 million to 200 million. Subsequent to the effectiveness of the AIR Charter Amendment, the Company shall cause a certificate of change to be filed with the Secretary of State of the State of Nevada effecting a reverse stock split of the issued and outstanding shares of the Company’s common stock at a ratio of one post-split share of the Company’s common stock for every five pre-split shares of the Company’s common stock while simultaneously reducing the number of authorized shares of the Company’s common stock under the Company’s articles of incorporation (after giving effect to the AIR Charter Amendment) by a corresponding factor, with any fractional share of the Company’s common stock otherwise resulting from the split rounded up to the nearest whole share (the “1 for 5 Reverse Stock Split”). Unless the parties agree otherwise, the number of authorized shares of the Company’s common stock immediately after the closing will be 40,000,000.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A&amp;R Merger Agreement eliminates the post-closing tender offer contemplated by the Original Merger Agreement, under which the Company would have been required, within five business days following the closing, to commence a tender offer to purchase up to 1,000,000 shares of the Company’s common stock at a purchase price equal to the Debt Adjusted AIR Share Price (as defined in the Original Merger Agreement) if the volume weighted average price of the Company’s common stock during the 20 trading days preceding the closing was less than the Debt Adjusted AIR Share Price.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Merger Agreement further requires that, promptly following the date of the A&amp;R Merger Agreement, the Company file with the U.S. Securities and Exchange Commission a Registration Statement on Form S-4, which will register the shares of the Company’s common stock to be issued to the Tenax Members pursuant to the A&amp;R Merger Agreement, and will include a proxy statement/prospectus relating to the Merger, and the matters to be voted on by the Company stockholders. Each of the Company and Tenax shall use its reasonable best efforts to cause the Registration Statement to become effective under the Securities Act as promptly as practicable and to keep the Registration Statement effective for so long as necessary to consummate the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the Company, Merger Sub and Tenax entered into an amendment to the A &amp; R Merger Agreement which extended the Outside Date (as defined in the A&amp;R Merger Agreement) to close the transaction from September 30, 2026 to November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is subject to risks and uncertainties and certain specified conditions, including, among other things: (a) the expiration or termination of the applicable waiting period under the Hart-Scott-Rodino Act, (b) the listing of the Merger Consideration on the NYSE American, and (c) other customary conditions for a transaction such as the Merger, such as the absence of any legal restraint prohibiting the consummation of the Merger and there not having occurred with respect to the Company or Tenax’s business a material adverse event, subject to certain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Tenax is a leading provider of special mission aviation solutions that combine aircraft sourcing, financing and modification with aviation services including pilots, maintenance and other types of program support. Additionally, Tenax has a long-standing relationship with key government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3"/>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our financial condition and results of operations should be read in conjunction with the unaudited condensed consolidated financial statements and notes to those statements included elsewhere in this Form 10-Q and with the audited consolidated financial statements and the notes thereto included in our Annual Report on Form 10-K, for the year ended December 31, 2025 (the “2025 Form 10-K”). This discussion contains forward-looking statements that involve risks and uncertainties. You should specifically consider the various risk factors identified in this report and our 2025 Form 10-K and the Registration Statement on Form S-4 filed with the SEC on July 22, 2026, that could cause actual results to differ materially from those anticipated in these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are one of the leading manufacturers of precision components and assemblies for large aerospace and defense contractors. Our rich history dates to 1941, producing parts for World War II fighter aircraft. Since then, we have maintained an impeccable record with no known incidents of part failure leading to a fatal mission. We became a public company in 2005.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include landing gear, flight controls, engine mounts and components for aircraft jet engines and ground turbines and other complex machines. The ultimate end-user for most of our products is the U.S. government, foreign governments, and commercial global airlines. Whether it is a small individual component for assembly by others or complete assemblies we manufacture ourselves, our high quality and extremely reliable products are used in mission critical operations that are essential for safety of military personnel and civilians.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net sales are concentrated amongst a number of defense and aerospace prime contractors, we have cultivated long-standing relationships with a number of their subsidiaries and/or business units. Additionally, our net sales are generated across several high-profile platforms and programs including: the F-18 Hornet, the E-2 Hawkeye, the UH-60 Black Hawk Helicopters, Geared Turbo-Fan (“GTF”) Engines (used on smaller aircraft such as the Airbus A220 and Embraer E2), the CH-53 Helicopter, the F-35 Lightning II and the F-15 Eagle Tactical Fighter. In many cases, we are the sole or single supplier of certain parts and components and receive LTAs from our customers, both demonstrating their commitment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Winning a new contract award is highly competitive. Our ability to win new contract awards generally requires us to deliver superior quality products, more quickly and with lower pricing than our competitors. Accordingly, we must continually invest in process improvements and capital equipment. Recent investments in new equipment have improved the productive capacity of our employees, increased our efficiency and speed, and expanded the size of products we can manufacture. We strategically operate two state-of-the-art manufacturing centers in the U.S. This allows for rigorous oversight of production and the adherence to stringent quality standards. Although there is currently a shortage of skilled workers, we maintain a highly trained and close-knit team of over 150 professionals committed to driving excellence and precision in every aspect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period-to-period net sales and operating results are significantly impacted by timing. In addition, our gross profit is affected by a variety of factors, including the mix and complexity of products, production efficiencies, price competition and general business operating environments. In some cases, our gross profit is impacted by our ability to deliver replacement parts on short notice. Our operations have a large percentage of fixed factory overhead. As a result, our profit margins are highly variable with sales volumes.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past several years, despite facing significant financial and operational challenges, we have strategically invested substantial amounts in new capital equipment, tooling, and processes to bolster our competitive position. Additionally, we expanded our sales and marketing efforts, with a sharp focus on expanding relationships with existing customers and cultivating new ones. Looking forward for the rest of fiscal 2026, we are focused on securing new contract awards, improving operations and successful completion of the Merger Agreement (as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have total unfilled contract values amounting to $279.0 million (including our $139.7 million in backlog and all potential orders against LTA agreements previously awarded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2026, we and Transitory Air Sub LLC</w:t>
      </w:r>
      <w:r>
        <w:rPr>
          <w:rFonts w:ascii="Times New Roman;Times;Serif" w:hAnsi="Times New Roman;Times;Serif"/>
          <w:b w:val="false"/>
          <w:i w:val="false"/>
          <w:caps/>
          <w:sz w:val="20"/>
        </w:rPr>
        <w:t xml:space="preserve">, </w:t>
      </w:r>
      <w:r>
        <w:rPr>
          <w:rFonts w:ascii="Times New Roman;Times;Serif" w:hAnsi="Times New Roman;Times;Serif"/>
          <w:b w:val="false"/>
          <w:i w:val="false"/>
          <w:caps w:val="false"/>
          <w:smallCaps w:val="false"/>
          <w:sz w:val="20"/>
        </w:rPr>
        <w:t>our wholly owned subsidiary (“Merger Sub”), entered into an Agreement and Plan of Merger (the “Original Merger Agreement”) with Tenax Aerospace Acquisition, LLC, a Delaware limited liability company (“Tenax”), pursuant to which we agreed to combine with Tenax and issue shares of our common stock to the holders of the membership interests of Tenax (the “Tenax Members”) at the closing of the merger based on a calculation of AIR Net Indebtedness (as defined in the Original Merger Agreement). On June 2, 2026, our subsidiary, Air Industries Machining Corp., received a payment of $1,971,070, (the “Advance”), from one of its customers for product to be delivered after receipt of the Advance. Subsequently, on June 8, 2026, we, Merger Sub and Tenax entered into an amendment (“Amendment No. 1”) to the Original Merger Agreement which amended the definition of AIR Net Indebtedness (as defined in the Original Merger Agreement) to mitigate the impact of the Advance on the calculation of AIR Net Indebtedness and thereby the number of shares of common stock to be issued pursuant to the Original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Merger Sub and Tenax entered into an Amended and Restated Agreement and Plan of Merger (the “A&amp;R Merger Agreement”), which amended and restated the Original Merger Agreement, as amended by Amendment No. 1, in its entirety. Pursuant to the A&amp;R Merger Agreement, Merger Sub will merge with and into Tenax, with Tenax continuing as the surviving company in such merger (the “</w:t>
      </w:r>
      <w:r>
        <w:rPr>
          <w:rFonts w:ascii="Times New Roman;Times;Serif" w:hAnsi="Times New Roman;Times;Serif"/>
          <w:b w:val="false"/>
          <w:i w:val="false"/>
          <w:caps w:val="false"/>
          <w:smallCaps w:val="false"/>
          <w:strike w:val="false"/>
          <w:dstrike w:val="false"/>
          <w:sz w:val="20"/>
          <w:u w:val="single"/>
          <w:effect w:val="none"/>
        </w:rPr>
        <w:t>Merger</w:t>
      </w:r>
      <w:r>
        <w:rPr>
          <w:rFonts w:ascii="Times New Roman;Times;Serif" w:hAnsi="Times New Roman;Times;Serif"/>
          <w:b w:val="false"/>
          <w:i w:val="false"/>
          <w:caps w:val="false"/>
          <w:smallCaps w:val="false"/>
          <w:sz w:val="20"/>
        </w:rPr>
        <w:t>”) and becoming our wholly owned subsidiary.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A&amp;R Merger Agreement, the number of shares of common stock we will issue has been fixed at 126,900,000 shares (25,380,000 shares after giving effect to a 1 for 5 Reverse Stock Split described herein) (the “Merger Consideration”) for the Tenax Members in connection with the Merger. A portion of the Merger Consideration allocated in respect of membership interests of Tenax underlying certain Tenax warrants that remain unexercised as of the closing, if any, will be reserved by us for future issuance upon the exercise of such warrants. The A&amp;R Merger Agreement further provides that the Debt Adjusted AIR Share Price (as defined in the A&amp;R Merger Agreement) shall be $3.05 ($15.25 after giving effect to a 1 for 5 Reverse Stock Split described herein). Each of the Merger Consideration and the Debt Adjusted AIR Share Price is subject to appropriate and equitable adjustment in the event of any subdivision, stock dividend or stock split, combination, recapitalization, exchange or reclassification of our common stock prior to the closing, including the 1 for 5 Reverse Stock Split described herein.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Merger Agreement requires us to amend our articles of incorporation (the “AIR Charter Amendment”) to increase the number of authorized shares of our common stock from 20 million to 200 million. Subsequent to the effectiveness of the AIR Charter Amendment, we shall cause a certificate of change to be filed with the Secretary of State of the State of Nevada effecting a reverse stock split of the issued and outstanding shares of our common stock at a ratio of one post-split share of our common stock for every five pre-split shares of our common stock while simultaneously reducing the number of authorized shares of our common stock under our articles of incorporation (after giving effect to the AIR Charter Amendment) by a corresponding factor, with any fractional share of our common stock otherwise resulting from the split rounded up to the nearest whole share (the “1 for 5 Reverse Stock Split”). Unless the parties agree otherwise, the number of authorized shares of our common stock immediately after the closing will be 40,000,000.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Merger Agreement eliminates the post-closing tender offer contemplated by the Original Merger Agreement, under which we would have been required, within five business days following the closing, to commence a tender offer to purchase up to 1,000,000 shares of our common stock at a purchase price equal to the Debt Adjusted AIR Share Price (as defined in the Original Merger Agreement) if the volume weighted average price of our common stock during the 20 trading days preceding the closing was less than the Debt Adjusted AIR Share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Merger Agreement further requires that, promptly following the date of the A&amp;R Merger Agreement, we file with the SEC a Registration Statement on Form S-4, which will register the shares of our common stock to be issued to the Tenax Members pursuant to the A&amp;R Merger Agreement, and will include a proxy statement/prospectus relating to the Merger, and the matters to be voted on by our stockholders. We and Tenax have agreed to use reasonable best efforts to cause the Registration Statement to become effective under the Securities Act as promptly as practicable and to keep the Registration Statement effective for so long as necessary to consummate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we, Merger Sub and Tenax entered into an amendment (the “Amendment”) to the A&amp;R Merger Agreement, which extended the Outside Date (as defined in the A&amp;R Merger Agreement) to close the transaction from September 30, 2026 to November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pursuant to the A&amp;R Merger Agreement is subject to risks and uncertainties and certain specified conditions, including, among other things: (a) the expiration or termination of the applicable waiting period under the Hart-Scott-Rodino Act, (b) the listing of the Merger Consideration on the NYSE American, and (c) other customary conditions for a transaction such as the Merger, such as the absence of any legal restraint prohibiting the consummation of the Merger and there not having occurred with respect to the Company or Tenax’s business a material adverse event, subject to certain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complete description of the A &amp; R Merger Agreement as amended by the Amendment, transactions to be consummated, actions to be taken and agreements entered into or to be entered into in connection therewith, reference is made to the Current Reports on Form 8-K filed July 9, 2026, and August 3, 2026 and the full text of the A &amp; R Merger Agreement, the Amendment and the documents that are exhibits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specifically noted, the discussion of our business, operations, management team and financial results contained herein gives no effect to changes that would occur as a result of or subsequent to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Tenax is a leading provider of special mission aviation solutions that combine aircraft sourcing, financing and modification with aviation services including pilots, maintenance and other types of program support. Additionally, Tenax has a long-standing relationship with key government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Financial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6"/>
        <w:gridCol w:w="60"/>
        <w:gridCol w:w="157"/>
        <w:gridCol w:w="1234"/>
        <w:gridCol w:w="95"/>
        <w:gridCol w:w="60"/>
        <w:gridCol w:w="133"/>
        <w:gridCol w:w="1256"/>
        <w:gridCol w:w="215"/>
        <w:gridCol w:w="60"/>
        <w:gridCol w:w="157"/>
        <w:gridCol w:w="1234"/>
        <w:gridCol w:w="95"/>
        <w:gridCol w:w="60"/>
        <w:gridCol w:w="133"/>
        <w:gridCol w:w="1256"/>
        <w:gridCol w:w="215"/>
        <w:gridCol w:w="60"/>
        <w:gridCol w:w="141"/>
        <w:gridCol w:w="1068"/>
        <w:gridCol w:w="95"/>
        <w:gridCol w:w="60"/>
        <w:gridCol w:w="75"/>
        <w:gridCol w:w="854"/>
        <w:gridCol w:w="236"/>
      </w:tblGrid>
      <w:tr>
        <w:trPr/>
        <w:tc>
          <w:tcPr>
            <w:tcW w:w="1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Ending </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 Percentage of Net Sales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Ending </w:t>
              <w:b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 Percentage of Net Sales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br/>
              <w:t>2026 vs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 Change</w:t>
              <w:br/>
              <w:t>2026 vs 2025</w:t>
            </w:r>
          </w:p>
        </w:tc>
        <w:tc>
          <w:tcPr>
            <w:tcW w:w="236" w:type="dxa"/>
            <w:tcBorders/>
            <w:vAlign w:val="center"/>
          </w:tcPr>
          <w:p>
            <w:pPr>
              <w:pStyle w:val="TableContents"/>
              <w:bidi w:val="0"/>
              <w:spacing w:before="0" w:after="283"/>
              <w:jc w:val="left"/>
              <w:rPr/>
            </w:pPr>
            <w:r>
              <w:rPr/>
              <w:t> </w:t>
            </w:r>
          </w:p>
        </w:tc>
      </w:tr>
      <w:tr>
        <w:trPr/>
        <w:tc>
          <w:tcPr>
            <w:tcW w:w="1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1"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1"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1196"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jc w:val="right"/>
              <w:rPr/>
            </w:pPr>
            <w:r>
              <w:rPr/>
              <w:t>11,995,000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jc w:val="right"/>
              <w:rPr/>
            </w:pPr>
            <w:r>
              <w:rPr/>
              <w:t>12,659,000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(664,000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-5.25</w:t>
            </w:r>
          </w:p>
        </w:tc>
        <w:tc>
          <w:tcPr>
            <w:tcW w:w="236" w:type="dxa"/>
            <w:tcBorders/>
            <w:shd w:fill="CCEEFF" w:val="clear"/>
            <w:vAlign w:val="center"/>
          </w:tcPr>
          <w:p>
            <w:pPr>
              <w:pStyle w:val="TableContents"/>
              <w:bidi w:val="0"/>
              <w:spacing w:before="0" w:after="283"/>
              <w:jc w:val="left"/>
              <w:rPr/>
            </w:pPr>
            <w:r>
              <w:rPr/>
              <w:t>%</w:t>
            </w:r>
          </w:p>
        </w:tc>
      </w:tr>
      <w:tr>
        <w:trPr/>
        <w:tc>
          <w:tcPr>
            <w:tcW w:w="1196"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12" w:space="0" w:color="000000"/>
            </w:tcBorders>
            <w:shd w:fill="FFFFFF" w:val="clear"/>
            <w:tcMar>
              <w:bottom w:w="28" w:type="dxa"/>
            </w:tcMar>
            <w:vAlign w:val="center"/>
          </w:tcPr>
          <w:p>
            <w:pPr>
              <w:pStyle w:val="TableContents"/>
              <w:bidi w:val="0"/>
              <w:spacing w:before="0" w:after="283"/>
              <w:jc w:val="right"/>
              <w:rPr/>
            </w:pPr>
            <w:r>
              <w:rPr/>
              <w:t>9,512,000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79.3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12" w:space="0" w:color="000000"/>
            </w:tcBorders>
            <w:shd w:fill="FFFFFF" w:val="clear"/>
            <w:tcMar>
              <w:bottom w:w="28" w:type="dxa"/>
            </w:tcMar>
            <w:vAlign w:val="center"/>
          </w:tcPr>
          <w:p>
            <w:pPr>
              <w:pStyle w:val="TableContents"/>
              <w:bidi w:val="0"/>
              <w:spacing w:before="0" w:after="283"/>
              <w:jc w:val="right"/>
              <w:rPr/>
            </w:pPr>
            <w:r>
              <w:rPr/>
              <w:t>10,631,000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84.0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FFFFFF" w:val="clear"/>
            <w:tcMar>
              <w:bottom w:w="28" w:type="dxa"/>
            </w:tcMar>
            <w:vAlign w:val="center"/>
          </w:tcPr>
          <w:p>
            <w:pPr>
              <w:pStyle w:val="TableContents"/>
              <w:bidi w:val="0"/>
              <w:spacing w:before="0" w:after="283"/>
              <w:jc w:val="right"/>
              <w:rPr/>
            </w:pPr>
            <w:r>
              <w:rPr/>
              <w:t>(1,119,000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FFFFFF" w:val="clear"/>
            <w:tcMar>
              <w:bottom w:w="28" w:type="dxa"/>
            </w:tcMar>
            <w:vAlign w:val="center"/>
          </w:tcPr>
          <w:p>
            <w:pPr>
              <w:pStyle w:val="TableContents"/>
              <w:bidi w:val="0"/>
              <w:spacing w:before="0" w:after="283"/>
              <w:jc w:val="right"/>
              <w:rPr/>
            </w:pPr>
            <w:r>
              <w:rPr/>
              <w:t>-10.53</w:t>
            </w:r>
          </w:p>
        </w:tc>
        <w:tc>
          <w:tcPr>
            <w:tcW w:w="236" w:type="dxa"/>
            <w:tcBorders/>
            <w:shd w:fill="FFFFFF" w:val="clear"/>
            <w:vAlign w:val="center"/>
          </w:tcPr>
          <w:p>
            <w:pPr>
              <w:pStyle w:val="TableContents"/>
              <w:bidi w:val="0"/>
              <w:spacing w:before="0" w:after="283"/>
              <w:jc w:val="left"/>
              <w:rPr/>
            </w:pPr>
            <w:r>
              <w:rPr/>
              <w:t>%</w:t>
            </w:r>
          </w:p>
        </w:tc>
      </w:tr>
      <w:tr>
        <w:trPr/>
        <w:tc>
          <w:tcPr>
            <w:tcW w:w="1196"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2,483,000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20.7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2,028,000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16.0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455,000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22.44</w:t>
            </w:r>
          </w:p>
        </w:tc>
        <w:tc>
          <w:tcPr>
            <w:tcW w:w="236" w:type="dxa"/>
            <w:tcBorders/>
            <w:shd w:fill="CCEEFF" w:val="clear"/>
            <w:vAlign w:val="center"/>
          </w:tcPr>
          <w:p>
            <w:pPr>
              <w:pStyle w:val="TableContents"/>
              <w:bidi w:val="0"/>
              <w:spacing w:before="0" w:after="283"/>
              <w:jc w:val="left"/>
              <w:rPr/>
            </w:pPr>
            <w:r>
              <w:rPr/>
              <w:t>%</w:t>
            </w:r>
          </w:p>
        </w:tc>
      </w:tr>
      <w:tr>
        <w:trPr/>
        <w:tc>
          <w:tcPr>
            <w:tcW w:w="1196"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2,849,000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23.8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2,020,000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16.0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829,000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41.04</w:t>
            </w:r>
          </w:p>
        </w:tc>
        <w:tc>
          <w:tcPr>
            <w:tcW w:w="236" w:type="dxa"/>
            <w:tcBorders/>
            <w:shd w:fill="FFFFFF" w:val="clear"/>
            <w:vAlign w:val="center"/>
          </w:tcPr>
          <w:p>
            <w:pPr>
              <w:pStyle w:val="TableContents"/>
              <w:bidi w:val="0"/>
              <w:spacing w:before="0" w:after="283"/>
              <w:jc w:val="left"/>
              <w:rPr/>
            </w:pPr>
            <w:r>
              <w:rPr/>
              <w:t>%</w:t>
            </w:r>
          </w:p>
        </w:tc>
      </w:tr>
      <w:tr>
        <w:trPr/>
        <w:tc>
          <w:tcPr>
            <w:tcW w:w="1196"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446,000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54,000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12.11</w:t>
            </w:r>
          </w:p>
        </w:tc>
        <w:tc>
          <w:tcPr>
            <w:tcW w:w="236" w:type="dxa"/>
            <w:tcBorders/>
            <w:shd w:fill="CCEEFF" w:val="clear"/>
            <w:vAlign w:val="center"/>
          </w:tcPr>
          <w:p>
            <w:pPr>
              <w:pStyle w:val="TableContents"/>
              <w:bidi w:val="0"/>
              <w:spacing w:before="0" w:after="283"/>
              <w:jc w:val="left"/>
              <w:rPr/>
            </w:pPr>
            <w:r>
              <w:rPr/>
              <w:t>%</w:t>
            </w:r>
          </w:p>
        </w:tc>
      </w:tr>
      <w:tr>
        <w:trPr/>
        <w:tc>
          <w:tcPr>
            <w:tcW w:w="1196"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38,000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0.3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16,000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0.1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22,000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137.50</w:t>
            </w:r>
          </w:p>
        </w:tc>
        <w:tc>
          <w:tcPr>
            <w:tcW w:w="236" w:type="dxa"/>
            <w:tcBorders/>
            <w:shd w:fill="FFFFFF" w:val="clear"/>
            <w:vAlign w:val="center"/>
          </w:tcPr>
          <w:p>
            <w:pPr>
              <w:pStyle w:val="TableContents"/>
              <w:bidi w:val="0"/>
              <w:spacing w:before="0" w:after="283"/>
              <w:jc w:val="left"/>
              <w:rPr/>
            </w:pPr>
            <w:r>
              <w:rPr/>
              <w:t>%</w:t>
            </w:r>
          </w:p>
        </w:tc>
      </w:tr>
      <w:tr>
        <w:trPr/>
        <w:tc>
          <w:tcPr>
            <w:tcW w:w="1196"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12" w:space="0" w:color="000000"/>
            </w:tcBorders>
            <w:shd w:fill="CCEEFF" w:val="clear"/>
            <w:tcMar>
              <w:bottom w:w="28" w:type="dxa"/>
            </w:tcMar>
            <w:vAlign w:val="center"/>
          </w:tcPr>
          <w:p>
            <w:pPr>
              <w:pStyle w:val="TableContents"/>
              <w:bidi w:val="0"/>
              <w:spacing w:before="0" w:after="283"/>
              <w:jc w:val="right"/>
              <w:rPr/>
            </w:pPr>
            <w:r>
              <w:rPr/>
              <w:t>18,000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0.2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bidi w:val="0"/>
              <w:spacing w:before="0" w:after="283"/>
              <w:jc w:val="right"/>
              <w:rPr/>
            </w:pPr>
            <w:r>
              <w:rPr/>
              <w:t>18,000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36" w:type="dxa"/>
            <w:tcBorders/>
            <w:shd w:fill="CCEEFF" w:val="clear"/>
            <w:vAlign w:val="center"/>
          </w:tcPr>
          <w:p>
            <w:pPr>
              <w:pStyle w:val="TableContents"/>
              <w:bidi w:val="0"/>
              <w:spacing w:before="0" w:after="283"/>
              <w:jc w:val="left"/>
              <w:rPr/>
            </w:pPr>
            <w:r>
              <w:rPr/>
              <w:t> </w:t>
            </w:r>
          </w:p>
        </w:tc>
      </w:tr>
      <w:tr>
        <w:trPr/>
        <w:tc>
          <w:tcPr>
            <w:tcW w:w="119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4" w:type="dxa"/>
            <w:tcBorders>
              <w:bottom w:val="double" w:sz="10" w:space="0" w:color="000000"/>
            </w:tcBorders>
            <w:shd w:fill="FFFFFF" w:val="clear"/>
            <w:tcMar>
              <w:bottom w:w="28" w:type="dxa"/>
            </w:tcMar>
            <w:vAlign w:val="center"/>
          </w:tcPr>
          <w:p>
            <w:pPr>
              <w:pStyle w:val="TableContents"/>
              <w:bidi w:val="0"/>
              <w:spacing w:before="0" w:after="283"/>
              <w:jc w:val="right"/>
              <w:rPr/>
            </w:pPr>
            <w:r>
              <w:rPr/>
              <w:t>(846,000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-7.1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4" w:type="dxa"/>
            <w:tcBorders>
              <w:bottom w:val="double" w:sz="10" w:space="0" w:color="000000"/>
            </w:tcBorders>
            <w:shd w:fill="FFFFFF" w:val="clear"/>
            <w:tcMar>
              <w:bottom w:w="28" w:type="dxa"/>
            </w:tcMar>
            <w:vAlign w:val="center"/>
          </w:tcPr>
          <w:p>
            <w:pPr>
              <w:pStyle w:val="TableContents"/>
              <w:bidi w:val="0"/>
              <w:spacing w:before="0" w:after="283"/>
              <w:jc w:val="right"/>
              <w:rPr/>
            </w:pPr>
            <w:r>
              <w:rPr/>
              <w:t>(422,000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-3.3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8" w:type="dxa"/>
            <w:tcBorders>
              <w:bottom w:val="double" w:sz="10" w:space="0" w:color="000000"/>
            </w:tcBorders>
            <w:shd w:fill="FFFFFF" w:val="clear"/>
            <w:tcMar>
              <w:bottom w:w="28" w:type="dxa"/>
            </w:tcMar>
            <w:vAlign w:val="center"/>
          </w:tcPr>
          <w:p>
            <w:pPr>
              <w:pStyle w:val="TableContents"/>
              <w:bidi w:val="0"/>
              <w:spacing w:before="0" w:after="283"/>
              <w:jc w:val="right"/>
              <w:rPr/>
            </w:pPr>
            <w:r>
              <w:rPr/>
              <w:t>(424,000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4" w:type="dxa"/>
            <w:tcBorders>
              <w:bottom w:val="double" w:sz="10" w:space="0" w:color="000000"/>
            </w:tcBorders>
            <w:shd w:fill="FFFFFF" w:val="clear"/>
            <w:tcMar>
              <w:bottom w:w="28" w:type="dxa"/>
            </w:tcMar>
            <w:vAlign w:val="center"/>
          </w:tcPr>
          <w:p>
            <w:pPr>
              <w:pStyle w:val="TableContents"/>
              <w:bidi w:val="0"/>
              <w:spacing w:before="0" w:after="283"/>
              <w:jc w:val="right"/>
              <w:rPr/>
            </w:pPr>
            <w:r>
              <w:rPr/>
              <w:t>100.47</w:t>
            </w:r>
          </w:p>
        </w:tc>
        <w:tc>
          <w:tcPr>
            <w:tcW w:w="236"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1"/>
        <w:gridCol w:w="60"/>
        <w:gridCol w:w="140"/>
        <w:gridCol w:w="1100"/>
        <w:gridCol w:w="95"/>
        <w:gridCol w:w="60"/>
        <w:gridCol w:w="119"/>
        <w:gridCol w:w="1121"/>
        <w:gridCol w:w="215"/>
        <w:gridCol w:w="60"/>
        <w:gridCol w:w="140"/>
        <w:gridCol w:w="1100"/>
        <w:gridCol w:w="95"/>
        <w:gridCol w:w="60"/>
        <w:gridCol w:w="119"/>
        <w:gridCol w:w="1121"/>
        <w:gridCol w:w="215"/>
        <w:gridCol w:w="60"/>
        <w:gridCol w:w="144"/>
        <w:gridCol w:w="1092"/>
        <w:gridCol w:w="95"/>
        <w:gridCol w:w="60"/>
        <w:gridCol w:w="97"/>
        <w:gridCol w:w="1033"/>
        <w:gridCol w:w="233"/>
      </w:tblGrid>
      <w:tr>
        <w:trPr/>
        <w:tc>
          <w:tcPr>
            <w:tcW w:w="15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 xml:space="preserve">Ending </w:t>
              <w:b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br/>
              <w:t>Percentage of</w:t>
              <w:br/>
              <w:t>Net Sales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 xml:space="preserve">Ending </w:t>
              <w:b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Percentage of</w:t>
              <w:br/>
              <w:t>Net Sales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br/>
              <w:t>2026 vs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 Change</w:t>
              <w:br/>
              <w:t>2026 vs 2025</w:t>
            </w:r>
          </w:p>
        </w:tc>
        <w:tc>
          <w:tcPr>
            <w:tcW w:w="233" w:type="dxa"/>
            <w:tcBorders/>
            <w:vAlign w:val="center"/>
          </w:tcPr>
          <w:p>
            <w:pPr>
              <w:pStyle w:val="TableContents"/>
              <w:bidi w:val="0"/>
              <w:spacing w:before="0" w:after="283"/>
              <w:jc w:val="left"/>
              <w:rPr/>
            </w:pPr>
            <w:r>
              <w:rPr/>
              <w:t> </w:t>
            </w:r>
          </w:p>
        </w:tc>
      </w:tr>
      <w:tr>
        <w:trPr/>
        <w:tc>
          <w:tcPr>
            <w:tcW w:w="15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1571"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23,601,000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24,802,000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92" w:type="dxa"/>
            <w:tcBorders/>
            <w:shd w:fill="CCEEFF" w:val="clear"/>
            <w:vAlign w:val="center"/>
          </w:tcPr>
          <w:p>
            <w:pPr>
              <w:pStyle w:val="TableContents"/>
              <w:bidi w:val="0"/>
              <w:spacing w:before="0" w:after="283"/>
              <w:jc w:val="right"/>
              <w:rPr/>
            </w:pPr>
            <w:r>
              <w:rPr/>
              <w:t>(1,201,000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-4.84</w:t>
            </w:r>
          </w:p>
        </w:tc>
        <w:tc>
          <w:tcPr>
            <w:tcW w:w="233" w:type="dxa"/>
            <w:tcBorders/>
            <w:shd w:fill="CCEEFF" w:val="clear"/>
            <w:vAlign w:val="center"/>
          </w:tcPr>
          <w:p>
            <w:pPr>
              <w:pStyle w:val="TableContents"/>
              <w:bidi w:val="0"/>
              <w:spacing w:before="0" w:after="283"/>
              <w:jc w:val="left"/>
              <w:rPr/>
            </w:pPr>
            <w:r>
              <w:rPr/>
              <w:t>%</w:t>
            </w:r>
          </w:p>
        </w:tc>
      </w:tr>
      <w:tr>
        <w:trPr/>
        <w:tc>
          <w:tcPr>
            <w:tcW w:w="1571"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18,516,000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pPr>
            <w:r>
              <w:rPr/>
              <w:t>78.5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20,740,000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pPr>
            <w:r>
              <w:rPr/>
              <w:t>83.6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pPr>
            <w:r>
              <w:rPr/>
              <w:t>(2,224,000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FFFFFF" w:val="clear"/>
            <w:tcMar>
              <w:bottom w:w="28" w:type="dxa"/>
            </w:tcMar>
            <w:vAlign w:val="center"/>
          </w:tcPr>
          <w:p>
            <w:pPr>
              <w:pStyle w:val="TableContents"/>
              <w:bidi w:val="0"/>
              <w:spacing w:before="0" w:after="283"/>
              <w:jc w:val="right"/>
              <w:rPr/>
            </w:pPr>
            <w:r>
              <w:rPr/>
              <w:t>-10.72</w:t>
            </w:r>
          </w:p>
        </w:tc>
        <w:tc>
          <w:tcPr>
            <w:tcW w:w="233" w:type="dxa"/>
            <w:tcBorders/>
            <w:shd w:fill="FFFFFF" w:val="clear"/>
            <w:vAlign w:val="center"/>
          </w:tcPr>
          <w:p>
            <w:pPr>
              <w:pStyle w:val="TableContents"/>
              <w:bidi w:val="0"/>
              <w:spacing w:before="0" w:after="283"/>
              <w:jc w:val="left"/>
              <w:rPr/>
            </w:pPr>
            <w:r>
              <w:rPr/>
              <w:t>%</w:t>
            </w:r>
          </w:p>
        </w:tc>
      </w:tr>
      <w:tr>
        <w:trPr/>
        <w:tc>
          <w:tcPr>
            <w:tcW w:w="1571"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21.5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4,062,000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16.4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1,023,000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25.18</w:t>
            </w:r>
          </w:p>
        </w:tc>
        <w:tc>
          <w:tcPr>
            <w:tcW w:w="233" w:type="dxa"/>
            <w:tcBorders/>
            <w:shd w:fill="CCEEFF" w:val="clear"/>
            <w:vAlign w:val="center"/>
          </w:tcPr>
          <w:p>
            <w:pPr>
              <w:pStyle w:val="TableContents"/>
              <w:bidi w:val="0"/>
              <w:spacing w:before="0" w:after="283"/>
              <w:jc w:val="left"/>
              <w:rPr/>
            </w:pPr>
            <w:r>
              <w:rPr/>
              <w:t>%</w:t>
            </w:r>
          </w:p>
        </w:tc>
      </w:tr>
      <w:tr>
        <w:trPr/>
        <w:tc>
          <w:tcPr>
            <w:tcW w:w="1571"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6,016,000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25.5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19.4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1,216,000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25.33</w:t>
            </w:r>
          </w:p>
        </w:tc>
        <w:tc>
          <w:tcPr>
            <w:tcW w:w="233" w:type="dxa"/>
            <w:tcBorders/>
            <w:shd w:fill="FFFFFF" w:val="clear"/>
            <w:vAlign w:val="center"/>
          </w:tcPr>
          <w:p>
            <w:pPr>
              <w:pStyle w:val="TableContents"/>
              <w:bidi w:val="0"/>
              <w:spacing w:before="0" w:after="283"/>
              <w:jc w:val="left"/>
              <w:rPr/>
            </w:pPr>
            <w:r>
              <w:rPr/>
              <w:t>%</w:t>
            </w:r>
          </w:p>
        </w:tc>
      </w:tr>
      <w:tr>
        <w:trPr/>
        <w:tc>
          <w:tcPr>
            <w:tcW w:w="1571"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4.2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3.6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104,000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11.69</w:t>
            </w:r>
          </w:p>
        </w:tc>
        <w:tc>
          <w:tcPr>
            <w:tcW w:w="233" w:type="dxa"/>
            <w:tcBorders/>
            <w:shd w:fill="CCEEFF" w:val="clear"/>
            <w:vAlign w:val="center"/>
          </w:tcPr>
          <w:p>
            <w:pPr>
              <w:pStyle w:val="TableContents"/>
              <w:bidi w:val="0"/>
              <w:spacing w:before="0" w:after="283"/>
              <w:jc w:val="left"/>
              <w:rPr/>
            </w:pPr>
            <w:r>
              <w:rPr/>
              <w:t>%</w:t>
            </w:r>
          </w:p>
        </w:tc>
      </w:tr>
      <w:tr>
        <w:trPr/>
        <w:tc>
          <w:tcPr>
            <w:tcW w:w="1571"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0.3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0.9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(141,000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-64.68</w:t>
            </w:r>
          </w:p>
        </w:tc>
        <w:tc>
          <w:tcPr>
            <w:tcW w:w="233" w:type="dxa"/>
            <w:tcBorders/>
            <w:shd w:fill="FFFFFF" w:val="clear"/>
            <w:vAlign w:val="center"/>
          </w:tcPr>
          <w:p>
            <w:pPr>
              <w:pStyle w:val="TableContents"/>
              <w:bidi w:val="0"/>
              <w:spacing w:before="0" w:after="283"/>
              <w:jc w:val="left"/>
              <w:rPr/>
            </w:pPr>
            <w:r>
              <w:rPr/>
              <w:t>%</w:t>
            </w:r>
          </w:p>
        </w:tc>
      </w:tr>
      <w:tr>
        <w:trPr/>
        <w:tc>
          <w:tcPr>
            <w:tcW w:w="1571"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pPr>
            <w:r>
              <w:rPr/>
              <w:t>0.1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CCEEFF" w:val="clear"/>
            <w:tcMar>
              <w:bottom w:w="28" w:type="dxa"/>
            </w:tcMar>
            <w:vAlign w:val="center"/>
          </w:tcPr>
          <w:p>
            <w:pPr>
              <w:pStyle w:val="TableContents"/>
              <w:bidi w:val="0"/>
              <w:spacing w:before="0" w:after="283"/>
              <w:jc w:val="right"/>
              <w:rPr/>
            </w:pPr>
            <w:r>
              <w:rPr/>
              <w:t>18,000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33" w:type="dxa"/>
            <w:tcBorders/>
            <w:shd w:fill="CCEEFF" w:val="clear"/>
            <w:vAlign w:val="center"/>
          </w:tcPr>
          <w:p>
            <w:pPr>
              <w:pStyle w:val="TableContents"/>
              <w:bidi w:val="0"/>
              <w:spacing w:before="0" w:after="283"/>
              <w:jc w:val="left"/>
              <w:rPr/>
            </w:pPr>
            <w:r>
              <w:rPr/>
              <w:t> </w:t>
            </w:r>
          </w:p>
        </w:tc>
      </w:tr>
      <w:tr>
        <w:trPr/>
        <w:tc>
          <w:tcPr>
            <w:tcW w:w="157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(1,866,000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double" w:sz="10" w:space="0" w:color="000000"/>
            </w:tcBorders>
            <w:shd w:fill="FFFFFF" w:val="clear"/>
            <w:tcMar>
              <w:bottom w:w="28" w:type="dxa"/>
            </w:tcMar>
            <w:vAlign w:val="center"/>
          </w:tcPr>
          <w:p>
            <w:pPr>
              <w:pStyle w:val="TableContents"/>
              <w:bidi w:val="0"/>
              <w:spacing w:before="0" w:after="283"/>
              <w:jc w:val="right"/>
              <w:rPr/>
            </w:pPr>
            <w:r>
              <w:rPr/>
              <w:t>-7.9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(1,410,000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double" w:sz="10" w:space="0" w:color="000000"/>
            </w:tcBorders>
            <w:shd w:fill="FFFFFF" w:val="clear"/>
            <w:tcMar>
              <w:bottom w:w="28" w:type="dxa"/>
            </w:tcMar>
            <w:vAlign w:val="center"/>
          </w:tcPr>
          <w:p>
            <w:pPr>
              <w:pStyle w:val="TableContents"/>
              <w:bidi w:val="0"/>
              <w:spacing w:before="0" w:after="283"/>
              <w:jc w:val="right"/>
              <w:rPr/>
            </w:pPr>
            <w:r>
              <w:rPr/>
              <w:t>-5.7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2" w:type="dxa"/>
            <w:tcBorders>
              <w:bottom w:val="double" w:sz="10" w:space="0" w:color="000000"/>
            </w:tcBorders>
            <w:shd w:fill="FFFFFF" w:val="clear"/>
            <w:tcMar>
              <w:bottom w:w="28" w:type="dxa"/>
            </w:tcMar>
            <w:vAlign w:val="center"/>
          </w:tcPr>
          <w:p>
            <w:pPr>
              <w:pStyle w:val="TableContents"/>
              <w:bidi w:val="0"/>
              <w:spacing w:before="0" w:after="283"/>
              <w:jc w:val="right"/>
              <w:rPr/>
            </w:pPr>
            <w:r>
              <w:rPr/>
              <w:t>(456,000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double" w:sz="10" w:space="0" w:color="000000"/>
            </w:tcBorders>
            <w:shd w:fill="FFFFFF" w:val="clear"/>
            <w:tcMar>
              <w:bottom w:w="28" w:type="dxa"/>
            </w:tcMar>
            <w:vAlign w:val="center"/>
          </w:tcPr>
          <w:p>
            <w:pPr>
              <w:pStyle w:val="TableContents"/>
              <w:bidi w:val="0"/>
              <w:spacing w:before="0" w:after="283"/>
              <w:jc w:val="right"/>
              <w:rPr/>
            </w:pPr>
            <w:r>
              <w:rPr/>
              <w:t>32.34</w:t>
            </w:r>
          </w:p>
        </w:tc>
        <w:tc>
          <w:tcPr>
            <w:tcW w:w="23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Balance Sheet Data:</w:t>
      </w:r>
    </w:p>
    <w:p>
      <w:pPr>
        <w:pStyle w:val="TextBody"/>
        <w:bidi w:val="0"/>
        <w:spacing w:before="0" w:after="0"/>
        <w:ind w:left="0" w:right="0" w:hanging="0"/>
        <w:jc w:val="left"/>
        <w:rPr>
          <w:caps w:val="false"/>
          <w:smallCaps w:val="false"/>
        </w:rPr>
      </w:pPr>
      <w:r>
        <w:rPr>
          <w:caps w:val="false"/>
          <w:smallCaps w:val="false"/>
        </w:rPr>
        <w:t> </w:t>
      </w:r>
    </w:p>
    <w:tbl>
      <w:tblPr>
        <w:tblW w:w="8603" w:type="dxa"/>
        <w:jc w:val="left"/>
        <w:tblInd w:w="0" w:type="dxa"/>
        <w:tblLayout w:type="fixed"/>
        <w:tblCellMar>
          <w:top w:w="0" w:type="dxa"/>
          <w:left w:w="0" w:type="dxa"/>
          <w:bottom w:w="0" w:type="dxa"/>
          <w:right w:w="0" w:type="dxa"/>
        </w:tblCellMar>
      </w:tblPr>
      <w:tblGrid>
        <w:gridCol w:w="2495"/>
        <w:gridCol w:w="60"/>
        <w:gridCol w:w="140"/>
        <w:gridCol w:w="1100"/>
        <w:gridCol w:w="60"/>
        <w:gridCol w:w="60"/>
        <w:gridCol w:w="159"/>
        <w:gridCol w:w="1255"/>
        <w:gridCol w:w="60"/>
        <w:gridCol w:w="60"/>
        <w:gridCol w:w="60"/>
        <w:gridCol w:w="1055"/>
        <w:gridCol w:w="95"/>
        <w:gridCol w:w="60"/>
        <w:gridCol w:w="172"/>
        <w:gridCol w:w="1482"/>
        <w:gridCol w:w="23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 Change</w:t>
            </w:r>
          </w:p>
        </w:tc>
        <w:tc>
          <w:tcPr>
            <w:tcW w:w="23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694,000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680,000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2.06</w:t>
            </w:r>
          </w:p>
        </w:tc>
        <w:tc>
          <w:tcPr>
            <w:tcW w:w="230" w:type="dxa"/>
            <w:tcBorders/>
            <w:shd w:fill="CCEEFF" w:val="clear"/>
            <w:vAlign w:val="center"/>
          </w:tcPr>
          <w:p>
            <w:pPr>
              <w:pStyle w:val="TableContents"/>
              <w:bidi w:val="0"/>
              <w:spacing w:before="0" w:after="283"/>
              <w:jc w:val="left"/>
              <w:rPr/>
            </w:pPr>
            <w:r>
              <w:rPr/>
              <w:t>%</w:t>
            </w:r>
          </w:p>
        </w:tc>
      </w:tr>
      <w:tr>
        <w:trPr/>
        <w:tc>
          <w:tcPr>
            <w:tcW w:w="2495" w:type="dxa"/>
            <w:tcBorders/>
            <w:shd w:fill="FFFFFF" w:val="clear"/>
            <w:vAlign w:val="center"/>
          </w:tcPr>
          <w:p>
            <w:pPr>
              <w:pStyle w:val="TableContents"/>
              <w:bidi w:val="0"/>
              <w:spacing w:before="0" w:after="283"/>
              <w:jc w:val="left"/>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5,413,000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5" w:type="dxa"/>
            <w:tcBorders/>
            <w:shd w:fill="FFFFFF" w:val="clear"/>
            <w:vAlign w:val="center"/>
          </w:tcPr>
          <w:p>
            <w:pPr>
              <w:pStyle w:val="TableContents"/>
              <w:bidi w:val="0"/>
              <w:spacing w:before="0" w:after="283"/>
              <w:jc w:val="right"/>
              <w:rPr/>
            </w:pPr>
            <w:r>
              <w:rPr/>
              <w:t>5,238,000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3.34</w:t>
            </w:r>
          </w:p>
        </w:tc>
        <w:tc>
          <w:tcPr>
            <w:tcW w:w="230" w:type="dxa"/>
            <w:tcBorders/>
            <w:shd w:fill="FFFFFF" w:val="clear"/>
            <w:vAlign w:val="center"/>
          </w:tcPr>
          <w:p>
            <w:pPr>
              <w:pStyle w:val="TableContents"/>
              <w:bidi w:val="0"/>
              <w:spacing w:before="0" w:after="283"/>
              <w:jc w:val="left"/>
              <w:rPr/>
            </w:pPr>
            <w:r>
              <w:rPr/>
              <w:t>%</w:t>
            </w:r>
          </w:p>
        </w:tc>
      </w:tr>
      <w:tr>
        <w:trPr/>
        <w:tc>
          <w:tcPr>
            <w:tcW w:w="249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59,216,000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58,329,000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1.52</w:t>
            </w:r>
          </w:p>
        </w:tc>
        <w:tc>
          <w:tcPr>
            <w:tcW w:w="230" w:type="dxa"/>
            <w:tcBorders/>
            <w:shd w:fill="CCEEFF" w:val="clear"/>
            <w:vAlign w:val="center"/>
          </w:tcPr>
          <w:p>
            <w:pPr>
              <w:pStyle w:val="TableContents"/>
              <w:bidi w:val="0"/>
              <w:spacing w:before="0" w:after="283"/>
              <w:jc w:val="left"/>
              <w:rPr/>
            </w:pPr>
            <w:r>
              <w:rPr/>
              <w:t>%</w:t>
            </w:r>
          </w:p>
        </w:tc>
      </w:tr>
      <w:tr>
        <w:trPr/>
        <w:tc>
          <w:tcPr>
            <w:tcW w:w="2495"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18,102,000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5" w:type="dxa"/>
            <w:tcBorders/>
            <w:shd w:fill="FFFFFF" w:val="clear"/>
            <w:vAlign w:val="center"/>
          </w:tcPr>
          <w:p>
            <w:pPr>
              <w:pStyle w:val="TableContents"/>
              <w:bidi w:val="0"/>
              <w:spacing w:before="0" w:after="283"/>
              <w:jc w:val="right"/>
              <w:rPr/>
            </w:pPr>
            <w:r>
              <w:rPr/>
              <w:t>19,201,000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(1,099,000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-5.72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Net Sales: </w:t>
      </w:r>
      <w:r>
        <w:rPr>
          <w:rFonts w:ascii="Times New Roman;Times;Serif" w:hAnsi="Times New Roman;Times;Serif"/>
          <w:b w:val="false"/>
          <w:i w:val="false"/>
          <w:caps w:val="false"/>
          <w:smallCaps w:val="false"/>
          <w:sz w:val="20"/>
        </w:rPr>
        <w:t>Net sales for the three months ended June 30, 2026 were $11,995,000, a decrease of $664,000, or 5.2%, compared with $12,659,000 that we achieved in the three months ended June 30, 2025. The period-over-period decrease in net sales was primarily due to overall changes in the mix of products delivered in response to customer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customers that exceeded 10% of our net sales for the three months ended June 30, 2026 and 2025 are shown below:</w:t>
      </w:r>
    </w:p>
    <w:p>
      <w:pPr>
        <w:pStyle w:val="TextBody"/>
        <w:bidi w:val="0"/>
        <w:spacing w:before="0" w:after="0"/>
        <w:ind w:left="0" w:right="0" w:hanging="0"/>
        <w:jc w:val="both"/>
        <w:rPr>
          <w:caps w:val="false"/>
          <w:smallCaps w:val="false"/>
        </w:rPr>
      </w:pPr>
      <w:r>
        <w:rPr>
          <w:caps w:val="false"/>
          <w:smallCaps w:val="false"/>
        </w:rPr>
        <w:t> </w:t>
      </w:r>
    </w:p>
    <w:tbl>
      <w:tblPr>
        <w:tblW w:w="4347" w:type="dxa"/>
        <w:jc w:val="left"/>
        <w:tblInd w:w="0" w:type="dxa"/>
        <w:tblLayout w:type="fixed"/>
        <w:tblCellMar>
          <w:top w:w="0" w:type="dxa"/>
          <w:left w:w="0" w:type="dxa"/>
          <w:bottom w:w="0" w:type="dxa"/>
          <w:right w:w="0" w:type="dxa"/>
        </w:tblCellMar>
      </w:tblPr>
      <w:tblGrid>
        <w:gridCol w:w="1670"/>
        <w:gridCol w:w="60"/>
        <w:gridCol w:w="112"/>
        <w:gridCol w:w="824"/>
        <w:gridCol w:w="403"/>
        <w:gridCol w:w="112"/>
        <w:gridCol w:w="112"/>
        <w:gridCol w:w="824"/>
        <w:gridCol w:w="230"/>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Net Sales</w:t>
            </w:r>
          </w:p>
        </w:tc>
        <w:tc>
          <w:tcPr>
            <w:tcW w:w="230" w:type="dxa"/>
            <w:tcBorders/>
            <w:vAlign w:val="center"/>
          </w:tcPr>
          <w:p>
            <w:pPr>
              <w:pStyle w:val="TableContents"/>
              <w:bidi w:val="0"/>
              <w:spacing w:before="0" w:after="283"/>
              <w:jc w:val="left"/>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b/>
              </w:rPr>
            </w:pPr>
            <w:r>
              <w:rPr>
                <w:b/>
              </w:rPr>
              <w:t>Customer</w:t>
            </w:r>
          </w:p>
        </w:tc>
        <w:tc>
          <w:tcPr>
            <w:tcW w:w="60" w:type="dxa"/>
            <w:tcBorders/>
            <w:vAlign w:val="center"/>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403"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Lockheed Martin</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28.1</w:t>
            </w:r>
          </w:p>
        </w:tc>
        <w:tc>
          <w:tcPr>
            <w:tcW w:w="403"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27.5</w:t>
            </w:r>
          </w:p>
        </w:tc>
        <w:tc>
          <w:tcPr>
            <w:tcW w:w="230" w:type="dxa"/>
            <w:tcBorders/>
            <w:shd w:fill="CCEEFF" w:val="clear"/>
            <w:vAlign w:val="center"/>
          </w:tcPr>
          <w:p>
            <w:pPr>
              <w:pStyle w:val="TableContents"/>
              <w:bidi w:val="0"/>
              <w:spacing w:before="0" w:after="283"/>
              <w:jc w:val="left"/>
              <w:rPr/>
            </w:pPr>
            <w:r>
              <w:rPr/>
              <w:t>%</w:t>
            </w:r>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RTX </w:t>
            </w:r>
            <w:r>
              <w:rPr>
                <w:rFonts w:ascii="Times New Roman;Times;Serif" w:hAnsi="Times New Roman;Times;Serif"/>
                <w:position w:val="7"/>
                <w:sz w:val="16"/>
                <w:sz w:val="20"/>
              </w:rPr>
              <w:t>(a)</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25.4</w:t>
            </w:r>
          </w:p>
        </w:tc>
        <w:tc>
          <w:tcPr>
            <w:tcW w:w="403" w:type="dxa"/>
            <w:tcBorders/>
            <w:shd w:fill="FFFFFF" w:val="clear"/>
            <w:vAlign w:val="center"/>
          </w:tcPr>
          <w:p>
            <w:pPr>
              <w:pStyle w:val="TableContents"/>
              <w:bidi w:val="0"/>
              <w:spacing w:before="0" w:after="283"/>
              <w:jc w:val="left"/>
              <w:rPr/>
            </w:pPr>
            <w:r>
              <w:rPr/>
              <w:t>%</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44.3</w:t>
            </w:r>
          </w:p>
        </w:tc>
        <w:tc>
          <w:tcPr>
            <w:tcW w:w="230" w:type="dxa"/>
            <w:tcBorders/>
            <w:shd w:fill="FFFFFF" w:val="clear"/>
            <w:vAlign w:val="center"/>
          </w:tcPr>
          <w:p>
            <w:pPr>
              <w:pStyle w:val="TableContents"/>
              <w:bidi w:val="0"/>
              <w:spacing w:before="0" w:after="283"/>
              <w:jc w:val="left"/>
              <w:rPr/>
            </w:pPr>
            <w:r>
              <w:rPr/>
              <w:t>%</w:t>
            </w:r>
          </w:p>
        </w:tc>
      </w:tr>
      <w:tr>
        <w:trPr/>
        <w:tc>
          <w:tcPr>
            <w:tcW w:w="1670" w:type="dxa"/>
            <w:tcBorders/>
            <w:shd w:fill="CCEEFF" w:val="clear"/>
            <w:vAlign w:val="center"/>
          </w:tcPr>
          <w:p>
            <w:pPr>
              <w:pStyle w:val="TableContents"/>
              <w:bidi w:val="0"/>
              <w:spacing w:before="0" w:after="283"/>
              <w:jc w:val="left"/>
              <w:rPr/>
            </w:pPr>
            <w:r>
              <w:rPr/>
              <w:t>Ontic</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10.8</w:t>
            </w:r>
          </w:p>
        </w:tc>
        <w:tc>
          <w:tcPr>
            <w:tcW w:w="403"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2.5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245"/>
        <w:gridCol w:w="6380"/>
      </w:tblGrid>
      <w:tr>
        <w:trPr/>
        <w:tc>
          <w:tcPr>
            <w:tcW w:w="245" w:type="dxa"/>
            <w:tcBorders/>
            <w:vAlign w:val="center"/>
          </w:tcPr>
          <w:p>
            <w:pPr>
              <w:pStyle w:val="TableContents"/>
              <w:bidi w:val="0"/>
              <w:spacing w:before="0" w:after="283"/>
              <w:jc w:val="left"/>
              <w:rPr>
                <w:position w:val="8"/>
                <w:sz w:val="19"/>
              </w:rPr>
            </w:pPr>
            <w:r>
              <w:rPr>
                <w:position w:val="8"/>
                <w:sz w:val="19"/>
              </w:rPr>
              <w:t>(a)</w:t>
            </w:r>
          </w:p>
        </w:tc>
        <w:tc>
          <w:tcPr>
            <w:tcW w:w="6380" w:type="dxa"/>
            <w:tcBorders/>
            <w:vAlign w:val="center"/>
          </w:tcPr>
          <w:p>
            <w:pPr>
              <w:pStyle w:val="TableContents"/>
              <w:bidi w:val="0"/>
              <w:spacing w:before="0" w:after="283"/>
              <w:jc w:val="both"/>
              <w:rPr/>
            </w:pPr>
            <w:r>
              <w:rPr/>
              <w:t>RTX includes Collins Landing Systems and Collins Aerostructures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net sales by platform or program profiles for the three months ended June 30, 2026 and 2025 are shown below:</w:t>
      </w:r>
    </w:p>
    <w:p>
      <w:pPr>
        <w:pStyle w:val="TextBody"/>
        <w:bidi w:val="0"/>
        <w:spacing w:before="0" w:after="0"/>
        <w:ind w:left="0" w:right="0" w:hanging="0"/>
        <w:jc w:val="both"/>
        <w:rPr>
          <w:caps w:val="false"/>
          <w:smallCaps w:val="false"/>
        </w:rPr>
      </w:pPr>
      <w:r>
        <w:rPr>
          <w:caps w:val="false"/>
          <w:smallCaps w:val="false"/>
        </w:rPr>
        <w:t> </w:t>
      </w:r>
    </w:p>
    <w:tbl>
      <w:tblPr>
        <w:tblW w:w="5697" w:type="dxa"/>
        <w:jc w:val="left"/>
        <w:tblInd w:w="0" w:type="dxa"/>
        <w:tblLayout w:type="fixed"/>
        <w:tblCellMar>
          <w:top w:w="0" w:type="dxa"/>
          <w:left w:w="0" w:type="dxa"/>
          <w:bottom w:w="0" w:type="dxa"/>
          <w:right w:w="0" w:type="dxa"/>
        </w:tblCellMar>
      </w:tblPr>
      <w:tblGrid>
        <w:gridCol w:w="3020"/>
        <w:gridCol w:w="60"/>
        <w:gridCol w:w="94"/>
        <w:gridCol w:w="883"/>
        <w:gridCol w:w="339"/>
        <w:gridCol w:w="94"/>
        <w:gridCol w:w="94"/>
        <w:gridCol w:w="883"/>
        <w:gridCol w:w="230"/>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Net Sales</w:t>
            </w:r>
          </w:p>
        </w:tc>
        <w:tc>
          <w:tcPr>
            <w:tcW w:w="230" w:type="dxa"/>
            <w:tcBorders/>
            <w:vAlign w:val="center"/>
          </w:tcPr>
          <w:p>
            <w:pPr>
              <w:pStyle w:val="TableContents"/>
              <w:bidi w:val="0"/>
              <w:spacing w:before="0" w:after="283"/>
              <w:jc w:val="left"/>
              <w:rPr/>
            </w:pPr>
            <w:r>
              <w:rPr/>
              <w:t> </w:t>
            </w:r>
          </w:p>
        </w:tc>
      </w:tr>
      <w:tr>
        <w:trPr/>
        <w:tc>
          <w:tcPr>
            <w:tcW w:w="3020" w:type="dxa"/>
            <w:tcBorders>
              <w:bottom w:val="single" w:sz="12" w:space="0" w:color="000000"/>
            </w:tcBorders>
            <w:tcMar>
              <w:bottom w:w="28" w:type="dxa"/>
            </w:tcMar>
            <w:vAlign w:val="center"/>
          </w:tcPr>
          <w:p>
            <w:pPr>
              <w:pStyle w:val="TableContents"/>
              <w:bidi w:val="0"/>
              <w:spacing w:before="0" w:after="283"/>
              <w:jc w:val="left"/>
              <w:rPr>
                <w:b/>
              </w:rPr>
            </w:pPr>
            <w:r>
              <w:rPr>
                <w:b/>
              </w:rPr>
              <w:t>Platform or Program</w:t>
            </w:r>
          </w:p>
        </w:tc>
        <w:tc>
          <w:tcPr>
            <w:tcW w:w="60"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3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UH-60 Black Hawk Helicopter</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27.6</w:t>
            </w:r>
          </w:p>
        </w:tc>
        <w:tc>
          <w:tcPr>
            <w:tcW w:w="33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13.9</w:t>
            </w:r>
          </w:p>
        </w:tc>
        <w:tc>
          <w:tcPr>
            <w:tcW w:w="23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left"/>
              <w:rPr/>
            </w:pPr>
            <w:r>
              <w:rPr/>
              <w:t>Geared Turbo Fan Engine</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22.5</w:t>
            </w:r>
          </w:p>
        </w:tc>
        <w:tc>
          <w:tcPr>
            <w:tcW w:w="339"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37.0</w:t>
            </w:r>
          </w:p>
        </w:tc>
        <w:tc>
          <w:tcPr>
            <w:tcW w:w="230" w:type="dxa"/>
            <w:tcBorders/>
            <w:shd w:fill="FFFFFF" w:val="clear"/>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left"/>
              <w:rPr/>
            </w:pPr>
            <w:r>
              <w:rPr/>
              <w:t>All other platforms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19.8</w:t>
            </w:r>
          </w:p>
        </w:tc>
        <w:tc>
          <w:tcPr>
            <w:tcW w:w="33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16.0</w:t>
            </w:r>
          </w:p>
        </w:tc>
        <w:tc>
          <w:tcPr>
            <w:tcW w:w="23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left"/>
              <w:rPr/>
            </w:pPr>
            <w:r>
              <w:rPr/>
              <w:t>E-2D Hawkeye</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11.8</w:t>
            </w:r>
          </w:p>
        </w:tc>
        <w:tc>
          <w:tcPr>
            <w:tcW w:w="339"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10.5</w:t>
            </w:r>
          </w:p>
        </w:tc>
        <w:tc>
          <w:tcPr>
            <w:tcW w:w="230" w:type="dxa"/>
            <w:tcBorders/>
            <w:shd w:fill="FFFFFF" w:val="clear"/>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left"/>
              <w:rPr/>
            </w:pPr>
            <w:r>
              <w:rPr/>
              <w:t>CH-53 Helicopter</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8.7</w:t>
            </w:r>
          </w:p>
        </w:tc>
        <w:tc>
          <w:tcPr>
            <w:tcW w:w="33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16.7</w:t>
            </w:r>
          </w:p>
        </w:tc>
        <w:tc>
          <w:tcPr>
            <w:tcW w:w="23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left"/>
              <w:rPr/>
            </w:pPr>
            <w:r>
              <w:rPr/>
              <w:t>F-35 Lightning II</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8.6</w:t>
            </w:r>
          </w:p>
        </w:tc>
        <w:tc>
          <w:tcPr>
            <w:tcW w:w="339"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5.7</w:t>
            </w:r>
          </w:p>
        </w:tc>
        <w:tc>
          <w:tcPr>
            <w:tcW w:w="230" w:type="dxa"/>
            <w:tcBorders/>
            <w:shd w:fill="FFFFFF" w:val="clear"/>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left"/>
              <w:rPr/>
            </w:pPr>
            <w:r>
              <w:rPr/>
              <w:t>F-18 Hornet</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33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0.2</w:t>
            </w:r>
          </w:p>
        </w:tc>
        <w:tc>
          <w:tcPr>
            <w:tcW w:w="23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339"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Period-to-period changes in customer mix and related platforms and programs are largely attributable to customer requirements, availability of parts, production capacity and timing.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Gross Profit: </w:t>
      </w:r>
      <w:r>
        <w:rPr>
          <w:rFonts w:ascii="Times New Roman;Times;Serif" w:hAnsi="Times New Roman;Times;Serif"/>
          <w:b w:val="false"/>
          <w:i w:val="false"/>
          <w:caps w:val="false"/>
          <w:smallCaps w:val="false"/>
          <w:sz w:val="20"/>
        </w:rPr>
        <w:t>Gross profit for the three months ended June 30, 2026, was $2,483,000 as compared to $2,028,000 for the three months ended June 30, 2025. Our gross profit percentage for the three months ended June 30, 2026 increased to 20.7% from 16.0% for the three months ended June 30, 2025. The increase in margin was attributed to changes in the sales across our major platforms, shifts in product mix, and overall operating efficiencies. During the second half of 2025, we implemented several cost reductions that benefited our gross profit during the three months ended June 30, 2026 that were not in place during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Operating Expenses</w:t>
      </w:r>
      <w:r>
        <w:rPr>
          <w:rFonts w:ascii="Times New Roman;Times;Serif" w:hAnsi="Times New Roman;Times;Serif"/>
          <w:b w:val="false"/>
          <w:i w:val="false"/>
          <w:caps w:val="false"/>
          <w:smallCaps w:val="false"/>
          <w:sz w:val="20"/>
        </w:rPr>
        <w:t>: Operating expenses were $2,849,000, for the three months ended June 30, 2026, an increase of $829,000, from $2,020,000 for the three months ended June 30, 2025. As a percentage of consolidated net sales, operating expenses increased to 23.8%, compared to the 16.0% achieved during the three months ended June 30, 2025. The dollar increase was primarily driven by professional expenses associated with our pending merger, as well as costs associated with the continued improvement of our information technology system and hardening our cyber-security defenses, offset by decreases in stock-based compensation costs. The professional expenses related to the merger were approximately $1,195,000. We continue to look for ways to reduce our costs and improve our operating performance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Interest Expense: </w:t>
      </w:r>
      <w:r>
        <w:rPr>
          <w:rFonts w:ascii="Times New Roman;Times;Serif" w:hAnsi="Times New Roman;Times;Serif"/>
          <w:b w:val="false"/>
          <w:i w:val="false"/>
          <w:caps w:val="false"/>
          <w:smallCaps w:val="false"/>
          <w:sz w:val="20"/>
        </w:rPr>
        <w:t>Interest expense was $500,000 during the three months ended June 30, 2026, an increase of $54,000 or 12.1% from $446,000 during the three months ended June 30, 2025. The increase is primarily attributable to higher borrowing levels during a portion of the period partially offset by a decrease in the average interest rate on outstanding debt pursuant to our Current Credit Facility which decreased to 6.10% in 2026 as compared to 6.85%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Net Loss:</w:t>
      </w:r>
      <w:r>
        <w:rPr>
          <w:rFonts w:ascii="Times New Roman;Times;Serif" w:hAnsi="Times New Roman;Times;Serif"/>
          <w:b w:val="false"/>
          <w:i w:val="false"/>
          <w:caps w:val="false"/>
          <w:smallCaps w:val="false"/>
          <w:sz w:val="20"/>
        </w:rPr>
        <w:t xml:space="preserve"> Net loss for the three months ended June 30, 2026 was $846,000, compared to a net loss of $422,000 for the three months ended June 30, 2025, for the reasons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Net Sales: </w:t>
      </w:r>
      <w:r>
        <w:rPr>
          <w:rFonts w:ascii="Times New Roman;Times;Serif" w:hAnsi="Times New Roman;Times;Serif"/>
          <w:b w:val="false"/>
          <w:i w:val="false"/>
          <w:caps w:val="false"/>
          <w:smallCaps w:val="false"/>
          <w:sz w:val="20"/>
        </w:rPr>
        <w:t>Net sales for the six months ended June 30, 2026 were $23,601,000, a decrease of $1,201,000, or 4.8%, compared with $24,802,000 that we achieved in the six months ended June 30, 2025. The period-over-period decrease in net sales was primarily due to overall changes in the mix of products delivered in response to customer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customers that exceeded 10% of our net sales for the six months ended June 30, 2026 and 2025 are shown below:</w:t>
      </w:r>
    </w:p>
    <w:p>
      <w:pPr>
        <w:pStyle w:val="TextBody"/>
        <w:bidi w:val="0"/>
        <w:spacing w:before="0" w:after="0"/>
        <w:ind w:left="0" w:right="0" w:hanging="0"/>
        <w:jc w:val="left"/>
        <w:rPr>
          <w:caps w:val="false"/>
          <w:smallCaps w:val="false"/>
        </w:rPr>
      </w:pPr>
      <w:r>
        <w:rPr>
          <w:caps w:val="false"/>
          <w:smallCaps w:val="false"/>
        </w:rPr>
        <w:t> </w:t>
      </w:r>
    </w:p>
    <w:tbl>
      <w:tblPr>
        <w:tblW w:w="4347" w:type="dxa"/>
        <w:jc w:val="left"/>
        <w:tblInd w:w="0" w:type="dxa"/>
        <w:tblLayout w:type="fixed"/>
        <w:tblCellMar>
          <w:top w:w="0" w:type="dxa"/>
          <w:left w:w="0" w:type="dxa"/>
          <w:bottom w:w="0" w:type="dxa"/>
          <w:right w:w="0" w:type="dxa"/>
        </w:tblCellMar>
      </w:tblPr>
      <w:tblGrid>
        <w:gridCol w:w="1670"/>
        <w:gridCol w:w="60"/>
        <w:gridCol w:w="112"/>
        <w:gridCol w:w="824"/>
        <w:gridCol w:w="403"/>
        <w:gridCol w:w="112"/>
        <w:gridCol w:w="112"/>
        <w:gridCol w:w="824"/>
        <w:gridCol w:w="230"/>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Net Sales</w:t>
            </w:r>
          </w:p>
        </w:tc>
        <w:tc>
          <w:tcPr>
            <w:tcW w:w="230" w:type="dxa"/>
            <w:tcBorders/>
            <w:vAlign w:val="center"/>
          </w:tcPr>
          <w:p>
            <w:pPr>
              <w:pStyle w:val="TableContents"/>
              <w:bidi w:val="0"/>
              <w:spacing w:before="0" w:after="283"/>
              <w:jc w:val="left"/>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b/>
              </w:rPr>
            </w:pPr>
            <w:r>
              <w:rPr>
                <w:b/>
              </w:rPr>
              <w:t>Customer</w:t>
            </w:r>
          </w:p>
        </w:tc>
        <w:tc>
          <w:tcPr>
            <w:tcW w:w="60" w:type="dxa"/>
            <w:tcBorders/>
            <w:vAlign w:val="center"/>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403"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Lockheed Martin</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31.5</w:t>
            </w:r>
          </w:p>
        </w:tc>
        <w:tc>
          <w:tcPr>
            <w:tcW w:w="403"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33.4</w:t>
            </w:r>
          </w:p>
        </w:tc>
        <w:tc>
          <w:tcPr>
            <w:tcW w:w="230" w:type="dxa"/>
            <w:tcBorders/>
            <w:shd w:fill="CCEEFF" w:val="clear"/>
            <w:vAlign w:val="center"/>
          </w:tcPr>
          <w:p>
            <w:pPr>
              <w:pStyle w:val="TableContents"/>
              <w:bidi w:val="0"/>
              <w:spacing w:before="0" w:after="283"/>
              <w:jc w:val="left"/>
              <w:rPr/>
            </w:pPr>
            <w:r>
              <w:rPr/>
              <w:t>%</w:t>
            </w:r>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RTX </w:t>
            </w:r>
            <w:r>
              <w:rPr>
                <w:rFonts w:ascii="Times New Roman;Times;Serif" w:hAnsi="Times New Roman;Times;Serif"/>
                <w:position w:val="7"/>
                <w:sz w:val="16"/>
                <w:sz w:val="20"/>
              </w:rPr>
              <w:t>(a)</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26.9</w:t>
            </w:r>
          </w:p>
        </w:tc>
        <w:tc>
          <w:tcPr>
            <w:tcW w:w="403" w:type="dxa"/>
            <w:tcBorders/>
            <w:shd w:fill="FFFFFF" w:val="clear"/>
            <w:vAlign w:val="center"/>
          </w:tcPr>
          <w:p>
            <w:pPr>
              <w:pStyle w:val="TableContents"/>
              <w:bidi w:val="0"/>
              <w:spacing w:before="0" w:after="283"/>
              <w:jc w:val="left"/>
              <w:rPr/>
            </w:pPr>
            <w:r>
              <w:rPr/>
              <w:t>%</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36.7</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245"/>
        <w:gridCol w:w="6380"/>
      </w:tblGrid>
      <w:tr>
        <w:trPr/>
        <w:tc>
          <w:tcPr>
            <w:tcW w:w="245" w:type="dxa"/>
            <w:tcBorders/>
            <w:vAlign w:val="center"/>
          </w:tcPr>
          <w:p>
            <w:pPr>
              <w:pStyle w:val="TableContents"/>
              <w:bidi w:val="0"/>
              <w:spacing w:before="0" w:after="283"/>
              <w:jc w:val="left"/>
              <w:rPr>
                <w:position w:val="8"/>
                <w:sz w:val="19"/>
              </w:rPr>
            </w:pPr>
            <w:r>
              <w:rPr>
                <w:position w:val="8"/>
                <w:sz w:val="19"/>
              </w:rPr>
              <w:t>(a)</w:t>
            </w:r>
          </w:p>
        </w:tc>
        <w:tc>
          <w:tcPr>
            <w:tcW w:w="6380" w:type="dxa"/>
            <w:tcBorders/>
            <w:vAlign w:val="center"/>
          </w:tcPr>
          <w:p>
            <w:pPr>
              <w:pStyle w:val="TableContents"/>
              <w:bidi w:val="0"/>
              <w:spacing w:before="0" w:after="283"/>
              <w:jc w:val="both"/>
              <w:rPr/>
            </w:pPr>
            <w:r>
              <w:rPr/>
              <w:t>RTX includes Collins Landing Systems and Collins Aerostructures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net sales by platform or program profiles for the six months ended June 30, 2026 and 2025 are shown below:</w:t>
      </w:r>
    </w:p>
    <w:p>
      <w:pPr>
        <w:pStyle w:val="TextBody"/>
        <w:bidi w:val="0"/>
        <w:spacing w:before="0" w:after="0"/>
        <w:ind w:left="0" w:right="0" w:hanging="0"/>
        <w:jc w:val="left"/>
        <w:rPr>
          <w:caps w:val="false"/>
          <w:smallCaps w:val="false"/>
        </w:rPr>
      </w:pPr>
      <w:r>
        <w:rPr>
          <w:caps w:val="false"/>
          <w:smallCaps w:val="false"/>
        </w:rPr>
        <w:t> </w:t>
      </w:r>
    </w:p>
    <w:tbl>
      <w:tblPr>
        <w:tblW w:w="5697" w:type="dxa"/>
        <w:jc w:val="left"/>
        <w:tblInd w:w="0" w:type="dxa"/>
        <w:tblLayout w:type="fixed"/>
        <w:tblCellMar>
          <w:top w:w="0" w:type="dxa"/>
          <w:left w:w="0" w:type="dxa"/>
          <w:bottom w:w="0" w:type="dxa"/>
          <w:right w:w="0" w:type="dxa"/>
        </w:tblCellMar>
      </w:tblPr>
      <w:tblGrid>
        <w:gridCol w:w="3020"/>
        <w:gridCol w:w="60"/>
        <w:gridCol w:w="94"/>
        <w:gridCol w:w="883"/>
        <w:gridCol w:w="339"/>
        <w:gridCol w:w="94"/>
        <w:gridCol w:w="94"/>
        <w:gridCol w:w="883"/>
        <w:gridCol w:w="230"/>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Net Sales</w:t>
            </w:r>
          </w:p>
        </w:tc>
        <w:tc>
          <w:tcPr>
            <w:tcW w:w="230" w:type="dxa"/>
            <w:tcBorders/>
            <w:vAlign w:val="center"/>
          </w:tcPr>
          <w:p>
            <w:pPr>
              <w:pStyle w:val="TableContents"/>
              <w:bidi w:val="0"/>
              <w:spacing w:before="0" w:after="283"/>
              <w:jc w:val="left"/>
              <w:rPr/>
            </w:pPr>
            <w:r>
              <w:rPr/>
              <w:t> </w:t>
            </w:r>
          </w:p>
        </w:tc>
      </w:tr>
      <w:tr>
        <w:trPr/>
        <w:tc>
          <w:tcPr>
            <w:tcW w:w="3020" w:type="dxa"/>
            <w:tcBorders>
              <w:bottom w:val="single" w:sz="12" w:space="0" w:color="000000"/>
            </w:tcBorders>
            <w:tcMar>
              <w:bottom w:w="28" w:type="dxa"/>
            </w:tcMar>
            <w:vAlign w:val="center"/>
          </w:tcPr>
          <w:p>
            <w:pPr>
              <w:pStyle w:val="TableContents"/>
              <w:bidi w:val="0"/>
              <w:spacing w:before="0" w:after="283"/>
              <w:jc w:val="left"/>
              <w:rPr>
                <w:b/>
              </w:rPr>
            </w:pPr>
            <w:r>
              <w:rPr>
                <w:b/>
              </w:rPr>
              <w:t>Platform or Program</w:t>
            </w:r>
          </w:p>
        </w:tc>
        <w:tc>
          <w:tcPr>
            <w:tcW w:w="60"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3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UH-60 Black Hawk Helicopter</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29.3</w:t>
            </w:r>
          </w:p>
        </w:tc>
        <w:tc>
          <w:tcPr>
            <w:tcW w:w="33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20.9</w:t>
            </w:r>
          </w:p>
        </w:tc>
        <w:tc>
          <w:tcPr>
            <w:tcW w:w="23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left"/>
              <w:rPr/>
            </w:pPr>
            <w:r>
              <w:rPr/>
              <w:t>Geared Turbo Fan Engine</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22.9</w:t>
            </w:r>
          </w:p>
        </w:tc>
        <w:tc>
          <w:tcPr>
            <w:tcW w:w="339"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31.0</w:t>
            </w:r>
          </w:p>
        </w:tc>
        <w:tc>
          <w:tcPr>
            <w:tcW w:w="230" w:type="dxa"/>
            <w:tcBorders/>
            <w:shd w:fill="FFFFFF" w:val="clear"/>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left"/>
              <w:rPr/>
            </w:pPr>
            <w:r>
              <w:rPr/>
              <w:t>All other platforms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21.7</w:t>
            </w:r>
          </w:p>
        </w:tc>
        <w:tc>
          <w:tcPr>
            <w:tcW w:w="33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18.3</w:t>
            </w:r>
          </w:p>
        </w:tc>
        <w:tc>
          <w:tcPr>
            <w:tcW w:w="23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left"/>
              <w:rPr/>
            </w:pPr>
            <w:r>
              <w:rPr/>
              <w:t>E-2D Hawkeye</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9.4</w:t>
            </w:r>
          </w:p>
        </w:tc>
        <w:tc>
          <w:tcPr>
            <w:tcW w:w="339"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10.3</w:t>
            </w:r>
          </w:p>
        </w:tc>
        <w:tc>
          <w:tcPr>
            <w:tcW w:w="230" w:type="dxa"/>
            <w:tcBorders/>
            <w:shd w:fill="FFFFFF" w:val="clear"/>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left"/>
              <w:rPr/>
            </w:pPr>
            <w:r>
              <w:rPr/>
              <w:t>CH-53 Helicopter</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8.1</w:t>
            </w:r>
          </w:p>
        </w:tc>
        <w:tc>
          <w:tcPr>
            <w:tcW w:w="33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13.6</w:t>
            </w:r>
          </w:p>
        </w:tc>
        <w:tc>
          <w:tcPr>
            <w:tcW w:w="23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left"/>
              <w:rPr/>
            </w:pPr>
            <w:r>
              <w:rPr/>
              <w:t>F-35 Lightning II</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7.3</w:t>
            </w:r>
          </w:p>
        </w:tc>
        <w:tc>
          <w:tcPr>
            <w:tcW w:w="339"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4.3</w:t>
            </w:r>
          </w:p>
        </w:tc>
        <w:tc>
          <w:tcPr>
            <w:tcW w:w="230" w:type="dxa"/>
            <w:tcBorders/>
            <w:shd w:fill="FFFFFF" w:val="clear"/>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left"/>
              <w:rPr/>
            </w:pPr>
            <w:r>
              <w:rPr/>
              <w:t>F-18 Hornet</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33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23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339"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Gross Profit: </w:t>
      </w:r>
      <w:r>
        <w:rPr>
          <w:rFonts w:ascii="Times New Roman;Times;Serif" w:hAnsi="Times New Roman;Times;Serif"/>
          <w:b w:val="false"/>
          <w:i w:val="false"/>
          <w:caps w:val="false"/>
          <w:smallCaps w:val="false"/>
          <w:sz w:val="20"/>
        </w:rPr>
        <w:t>Gross profit for the six months ended June 30, 2026, was $5,085,000 as compared to $4,062,000 for the six months ended June 30, 2025. Our gross profit percentage for the six months ended June 30, 2026 increased to 21.5% from 16.4% for the six months ended June 30, 2025. The increase in margin was attributed to changes in the sales across our major platforms, shifts in product mix and overall operating efficiencies.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Operating Expenses</w:t>
      </w:r>
      <w:r>
        <w:rPr>
          <w:rFonts w:ascii="Times New Roman;Times;Serif" w:hAnsi="Times New Roman;Times;Serif"/>
          <w:b w:val="false"/>
          <w:i w:val="false"/>
          <w:caps w:val="false"/>
          <w:smallCaps w:val="false"/>
          <w:sz w:val="20"/>
        </w:rPr>
        <w:t>: Operating expenses were $6,016,000, for the six months ended June 30, 2026, an increase of $1,216,000, from $4,800,000 for the six months ended June 30, 2025. As a percentage of consolidated net sales, operating expenses increased to 25.5%, compared to 19.4% incurred during the six months ended June 30, 2025. The dollar increase was primarily driven by professional expenses associated with our pending merger and increases in stock compensation expense, and costs associated with the continued improvement of our information technology system and hardening our cyber-security defenses. The professional expenses related to the merger were approximately $1,195,000. We continue to look for ways to reduce our costs and improve our operating performance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Interest Expense: </w:t>
      </w:r>
      <w:r>
        <w:rPr>
          <w:rFonts w:ascii="Times New Roman;Times;Serif" w:hAnsi="Times New Roman;Times;Serif"/>
          <w:b w:val="false"/>
          <w:i w:val="false"/>
          <w:caps w:val="false"/>
          <w:smallCaps w:val="false"/>
          <w:sz w:val="20"/>
        </w:rPr>
        <w:t>Interest expense was $994,000 during the six months ended June 30, 2026, an increase of $104,000 or 11.7% from $890,000 during the six months ended June 30, 2025. The increase is primarily attributable to higher borrowing levels during a portion of the period partially offset by a reduction in the average interest rate on outstanding debt pursuant to our Current Credit Facility which decreased to 6.10% in 2026 as compared to 6.85%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Net Loss:</w:t>
      </w:r>
      <w:r>
        <w:rPr>
          <w:rFonts w:ascii="Times New Roman;Times;Serif" w:hAnsi="Times New Roman;Times;Serif"/>
          <w:b w:val="false"/>
          <w:i w:val="false"/>
          <w:caps w:val="false"/>
          <w:smallCaps w:val="false"/>
          <w:sz w:val="20"/>
        </w:rPr>
        <w:t xml:space="preserve"> Net Loss for the six months ended June 30, 2026 was $1,866,000, compared to a net loss of $1,410,000 for the six months ended June 30, 2025, for the reasons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LIQUIDITY AND CAPITAL RESOURCES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have debt service requirements related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1)</w:t>
            </w:r>
          </w:p>
        </w:tc>
        <w:tc>
          <w:tcPr>
            <w:tcW w:w="10021" w:type="dxa"/>
            <w:tcBorders/>
            <w:vAlign w:val="center"/>
          </w:tcPr>
          <w:p>
            <w:pPr>
              <w:pStyle w:val="TableContents"/>
              <w:bidi w:val="0"/>
              <w:spacing w:before="0" w:after="283"/>
              <w:jc w:val="both"/>
              <w:rPr>
                <w:sz w:val="20"/>
              </w:rPr>
            </w:pPr>
            <w:r>
              <w:rPr>
                <w:sz w:val="20"/>
              </w:rPr>
              <w:t>Outstanding indebtedness under our Current Credit Facility of $24,014,000 (consisting of a Revolving Loan of $18,683,000 and a Term Loan of $5,331,000). This debt matures on September 30, 2026, and we are required to make monthly payments on the Term Loan of approximately $87,000 until the loan matures.</w:t>
            </w:r>
          </w:p>
        </w:tc>
      </w:tr>
    </w:tbl>
    <w:p>
      <w:pPr>
        <w:pStyle w:val="TextBody"/>
        <w:bidi w:val="0"/>
        <w:spacing w:before="0" w:after="0"/>
        <w:ind w:left="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85"/>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2)</w:t>
            </w:r>
          </w:p>
        </w:tc>
        <w:tc>
          <w:tcPr>
            <w:tcW w:w="6530" w:type="dxa"/>
            <w:tcBorders/>
            <w:vAlign w:val="center"/>
          </w:tcPr>
          <w:p>
            <w:pPr>
              <w:pStyle w:val="TableContents"/>
              <w:bidi w:val="0"/>
              <w:spacing w:before="0" w:after="283"/>
              <w:jc w:val="both"/>
              <w:rPr>
                <w:sz w:val="20"/>
              </w:rPr>
            </w:pPr>
            <w:r>
              <w:rPr>
                <w:sz w:val="20"/>
              </w:rPr>
              <w:t>Related Party Notes of approximately $4,871,000, maturing on October 1,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20"/>
              </w:rPr>
            </w:pPr>
            <w:r>
              <w:rPr>
                <w:sz w:val="20"/>
              </w:rPr>
              <w:t>3)</w:t>
            </w:r>
          </w:p>
        </w:tc>
        <w:tc>
          <w:tcPr>
            <w:tcW w:w="10013" w:type="dxa"/>
            <w:tcBorders/>
            <w:vAlign w:val="center"/>
          </w:tcPr>
          <w:p>
            <w:pPr>
              <w:pStyle w:val="TableContents"/>
              <w:bidi w:val="0"/>
              <w:spacing w:before="0" w:after="283"/>
              <w:jc w:val="both"/>
              <w:rPr>
                <w:sz w:val="20"/>
              </w:rPr>
            </w:pPr>
            <w:r>
              <w:rPr>
                <w:sz w:val="20"/>
              </w:rPr>
              <w:t>Various equipment leases and contractual obligations related to our business, including advances under our Solar Facility for the installation of solar energy systems including the replacement of the existing roof at our Sterling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Current Credit Facility, as amended, we are required to meet a prescribed Fixed Charge Coverage Ratio (as defined) that is determined at the end of each fiscal quarter on a rolling twelve-month basis. This ratio is a financial metric that we use to measure our ability to cover fixed charges such as interest and lease expenses divided by EBITDA (as defined in the Current Credit Facility) which represents net income (loss) before interest, taxes, depreciation and amortization. As of June 30, 2026, the Company is required to meet a Fixed Charge Coverage Ratio on a rolling twelve-month basis of 1.10x. As of June 30, 2026, we were in compliance with this ratio having attained a ratio of 1.36x. Additionally, we are in compliance with all other required business and financial covenants in the Current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Credit Facility and Related Party Notes are due on September 30 and October 1, 2026, respectively and are classified as current liabilities on the condensed consolidated balance sheet as of June 30, 2026. As a result of the due dates of this debt, there is substantial doubt about our ability to continue as a going concern for the twelve months following the date of filing of these consolidated financial statements. Moreover, Webster Bank has advised us that it does not want to renew our Current Credit Facility. In addition to discussions with our lenders, as discussed in our Current Report on Form 8-K filed on February 17, 2026, and Registration Statement on Form S-4 filed on July 22, 2026, we are seeking to merge with Tenax pursuant to the terms of the A&amp;R Merger Agreement, as amended by the Amendment. It is likely that we will not complete the Merger with Tenax prior to September 30, 2026. However, we are currently engaged in discussions with Webster Bank as well as the holders of the Related Party Notes as to the terms and conditions on which they will extend the maturity dates of their debt to the Outside Date of November 30, 2026, as defined in the Amendment to the A&amp;R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Current Credit Facility we are required to maintain a collection account with our lender into which substantially all cash receipts are remitted. Should our lender choose to increase the rate of interest or refuse to make loans under the revolving portion of the Current Credit Facility and keep the funds remitted to the collection account, it would adversely impact our operating results. If the lender were to cease making new loans under the revolving facility, we would lack the funds to continue operations. The Current Credit Facility expiration date and the rights granted to the lender, combined with the reasonable possibility that we might fail to meet covenants in the future, raise substantial doubt about our ability to continue as a going concern for the one year commencing as of the date of filing this report. To date, the lender has chosen not to exercise any of its remedies, though we have agreed to place $3,930,000 of ATM proceeds in an interest bearing account with the lender to serve as additional security for our obligations under the Current Credit Facility and agreed to pay $150,000 for its agreement to extend the maturity date to September 30, 2026. It is likely that the lender under our Current Credit Facility and the holders of our Related Party Notes will require additional fees for their respective agreement to extend the maturity date of the Current Credit Facility and the Related Party Notes beyond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current operations and strategic initiatives, beginning in December 2024 we raised capital through public market sales of our common stock and believe we can continue to access equity markets in future periods, though there is no assurance as to our ability to do so or as to the price and terms under which we could issue equity securities. During the year ended December 31, 2025, we sold 1,213,593 shares of common stock in the public market and generated gross proceeds of $4,869,000, of which approximately $3,930,000 is restricted for the benefit of the Current Credit Facility lender. Since initiating the sales in December 2024, we have sold a total of 1,330,444 shares for gross proceeds of $5,375,000. In light of ongoing negotiations with our lenders and in accordance with the A &amp; R Merger Agreement with Tenax, we have temporarily paused all equity raising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discussion of the recent amendments to the Current Credit Facility (all of which have been included as exhibits to reports filed with the SEC):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On January 30, 2025, we entered into an Eighth Amendment to provide for an additional Term Loan in the amount of $1,640,000 for the acquisition of equipment. The monthly principal installments on this additional Term Loan are $19,524. This amendment further revised our Financial Covenants. For the rolling twelve-month period ending March 31, 2025 and June 30, 2025, we are required to achieve a Fixed Charge Coverage Ratio of 1.05x. Beginning with the rolling twelve-month period ending September 30, 2025 and going forward the Company is required to achieve a Fixed Charge Coverage Ratio of 1.25x. All other covenants remain unchanged. In connection with these changes, the Company paid an amendment fee of $20,000.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2025, we entered into a Ninth Amendment where we agreed that $3,930,000 of the proceeds from our ATM Offering would be maintained in an interest bearing account. The funds in this account serve as security for our obligations under the Current Credit Facility.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we entered into a Tenth Amendment which waived the defaults caused by the failure to achieve the required fixed charge coverage ratio for the fiscal quarter ended June 30, 2025, and for exceeding the permitted amount of capital expenditures for the fiscal year ending December 31, 2025. Additionally, the maturity date of the revolving credit and term loans were extended to March 31, 2026, and amended the capital expenditure covenant. The company paid an amendment fee of $40,000.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2026, we entered into an Eleventh Amendment to which extended the maturity date of the revolving credit and term loans to September 30, 2026. We paid an amendment fee of $25,000 and agreed to pay an additional fee of $150,000 on the maturity date of the Current Credit Facility.</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close the merger with Tenax contemplated by the A &amp; R Merger Agreement or obtain a new lender to replace the Current Credit Facility we may not be able to meet our financial obligations. As of June 30, 2026, we have borrowing capacity of approximately $1,317,000 under the Revolving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required Term Loan payments we may have to make additional payments under the Current Credit Facility. For so long as the Term Loan under the Current Credit Facility remains outstanding, if Excess Cash Flow (as defined) is a positive amount for any fiscal year, we are obligated to pay an amount equal to the lesser of (i) twenty-five percent (25%) of the Excess Cash Flow and (ii) the outstanding principal balance of the Term Loan. Such payment shall be applied to the outstanding principal balance of the Term loan, on or prior to the April 15 immediately following such fiscal year. For the fiscal year ended December 31, 2025, based on the calculation there is no Excess Cash Flow payment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outstanding indebtedness under the Current Credit Facility and Related Party Notes, we have various equipment leases and contractual obligations of an ongoing nature which we service in the ordinary course out of our cash flow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are for debt service, funding working capital and capital expenditures. We have historically met these requirements with funds provided by a combination of cash generated from operating activities and cash generated from equity and debt financing transactions. Based on our current revenue visibility, strength of our backlog, and availability under our Current Credit Facility, we believe that we have sufficient liquidity to meet our day-to-day cash requirements for our operations. However, we must pay or refinance large portions of our indebtedness prior to September 30, 2026 and, even if the lender under our Current Credit Facility were to agree to additional extensions, the extensions are likely to be short term and require the payment of significant fees. Further, as a condition to any extension which might be agreed to by our current lender or a refinancing of our Current Credit Facility, our current lender or a new lender may require that the holders of our Related Party Notes extend or otherwise modify the subordination agreements they have given in favor of our current lender and the holders of the Related Party Notes may seek consideration for agreeing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close the contemplated Merger, it is unlikely we will be able to pay existing debt and will need to refinance our Current Credit Facility and Related Party Notes. We have engaged in discussions with Webster Bank and the holders of our Related Party Notes to explore potential extensions or refinancings of our obligations. Webster Bank has advised us that it will not extend our Current Credit Facility indefinitely and required us to make significant payments in consideration of its agreement to extend the Current Credit Facility to September 30, 2026. Refinancing our indebtedness may require us to pay higher interest rates than we currently pay, agree to more restrictive business or financial covenants or involve the issuance of debt, equity and/or new securities convertible into or exercisable or exchangeable for our common stock to our lenders or to third parties to reduce the amount of our debt. Any failure to refinance our existing debt or obtain additional working capital when required would have a material adverse effect on our business and financial condition. Any issuances of our common stock, preferred stock, or securities such as warrants or notes that are convertible into, exercisable or exchangeable for, our capital stock, would have a dilutive effect on the voting and economic interest of our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regarding outstanding indebtedness are provided in “Note 5.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net cash flow from operating, investing and financing activities for the periods indicated below (in thousands): </w:t>
      </w:r>
    </w:p>
    <w:p>
      <w:pPr>
        <w:pStyle w:val="TextBody"/>
        <w:bidi w:val="0"/>
        <w:spacing w:before="0" w:after="0"/>
        <w:ind w:left="0" w:right="0" w:firstLine="720"/>
        <w:jc w:val="both"/>
        <w:rPr>
          <w:caps w:val="false"/>
          <w:smallCaps w:val="false"/>
        </w:rPr>
      </w:pPr>
      <w:r>
        <w:rPr>
          <w:caps w:val="false"/>
          <w:smallCaps w:val="false"/>
        </w:rPr>
        <w:t> </w:t>
      </w:r>
    </w:p>
    <w:tbl>
      <w:tblPr>
        <w:tblW w:w="4588" w:type="dxa"/>
        <w:jc w:val="left"/>
        <w:tblInd w:w="0" w:type="dxa"/>
        <w:tblLayout w:type="fixed"/>
        <w:tblCellMar>
          <w:top w:w="0" w:type="dxa"/>
          <w:left w:w="0" w:type="dxa"/>
          <w:bottom w:w="0" w:type="dxa"/>
          <w:right w:w="0" w:type="dxa"/>
        </w:tblCellMar>
      </w:tblPr>
      <w:tblGrid>
        <w:gridCol w:w="2600"/>
        <w:gridCol w:w="60"/>
        <w:gridCol w:w="167"/>
        <w:gridCol w:w="543"/>
        <w:gridCol w:w="113"/>
        <w:gridCol w:w="71"/>
        <w:gridCol w:w="167"/>
        <w:gridCol w:w="757"/>
        <w:gridCol w:w="11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8"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2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Cash provided by (used in)</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2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543" w:type="dxa"/>
            <w:tcBorders/>
            <w:shd w:fill="CCEEFF" w:val="clear"/>
            <w:vAlign w:val="center"/>
          </w:tcPr>
          <w:p>
            <w:pPr>
              <w:pStyle w:val="TableContents"/>
              <w:bidi w:val="0"/>
              <w:spacing w:before="0" w:after="283"/>
              <w:jc w:val="right"/>
              <w:rPr/>
            </w:pPr>
            <w:r>
              <w:rPr/>
              <w:t>225</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1,870</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(485</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(2,113</w:t>
            </w:r>
          </w:p>
        </w:tc>
        <w:tc>
          <w:tcPr>
            <w:tcW w:w="110" w:type="dxa"/>
            <w:tcBorders/>
            <w:shd w:fill="FFFFFF" w:val="clear"/>
            <w:vAlign w:val="center"/>
          </w:tcPr>
          <w:p>
            <w:pPr>
              <w:pStyle w:val="TableContents"/>
              <w:bidi w:val="0"/>
              <w:spacing w:before="0" w:after="283"/>
              <w:jc w:val="left"/>
              <w:rPr/>
            </w:pPr>
            <w:r>
              <w:rPr/>
              <w:t>)</w:t>
            </w:r>
          </w:p>
        </w:tc>
      </w:tr>
      <w:tr>
        <w:trPr/>
        <w:tc>
          <w:tcPr>
            <w:tcW w:w="260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3" w:type="dxa"/>
            <w:tcBorders>
              <w:bottom w:val="single" w:sz="12" w:space="0" w:color="000000"/>
            </w:tcBorders>
            <w:shd w:fill="CCEEFF" w:val="clear"/>
            <w:tcMar>
              <w:bottom w:w="28" w:type="dxa"/>
            </w:tcMar>
            <w:vAlign w:val="center"/>
          </w:tcPr>
          <w:p>
            <w:pPr>
              <w:pStyle w:val="TableContents"/>
              <w:bidi w:val="0"/>
              <w:spacing w:before="0" w:after="283"/>
              <w:jc w:val="right"/>
              <w:rPr/>
            </w:pPr>
            <w:r>
              <w:rPr/>
              <w:t>274</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w:t>
            </w:r>
          </w:p>
        </w:tc>
      </w:tr>
      <w:tr>
        <w:trPr/>
        <w:tc>
          <w:tcPr>
            <w:tcW w:w="2600" w:type="dxa"/>
            <w:tcBorders/>
            <w:shd w:fill="FFFFFF" w:val="clear"/>
            <w:vAlign w:val="center"/>
          </w:tcPr>
          <w:p>
            <w:pPr>
              <w:pStyle w:val="TableContents"/>
              <w:bidi w:val="0"/>
              <w:spacing w:before="0" w:after="283"/>
              <w:jc w:val="left"/>
              <w:rPr/>
            </w:pPr>
            <w:r>
              <w:rPr/>
              <w:t>Net increase in cash</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43" w:type="dxa"/>
            <w:tcBorders>
              <w:bottom w:val="double" w:sz="10" w:space="0" w:color="000000"/>
            </w:tcBorders>
            <w:shd w:fill="FFFFFF" w:val="clear"/>
            <w:tcMar>
              <w:bottom w:w="28" w:type="dxa"/>
            </w:tcMar>
            <w:vAlign w:val="center"/>
          </w:tcPr>
          <w:p>
            <w:pPr>
              <w:pStyle w:val="TableContents"/>
              <w:bidi w:val="0"/>
              <w:spacing w:before="0" w:after="283"/>
              <w:jc w:val="right"/>
              <w:rPr/>
            </w:pPr>
            <w:r>
              <w:rPr/>
              <w:t>14</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7" w:type="dxa"/>
            <w:tcBorders>
              <w:bottom w:val="double" w:sz="10" w:space="0" w:color="000000"/>
            </w:tcBorders>
            <w:shd w:fill="FFFFFF" w:val="clear"/>
            <w:tcMar>
              <w:bottom w:w="28" w:type="dxa"/>
            </w:tcMar>
            <w:vAlign w:val="center"/>
          </w:tcPr>
          <w:p>
            <w:pPr>
              <w:pStyle w:val="TableContents"/>
              <w:bidi w:val="0"/>
              <w:spacing w:before="0" w:after="283"/>
              <w:jc w:val="right"/>
              <w:rPr/>
            </w:pPr>
            <w:r>
              <w:rPr/>
              <w:t>(246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Provided by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we generated $225,000 of cash flows from operations as compared to $1,870,000 for the six months ended June 30, 2025. The decrease was due primarily to the increase in our net loss, increases in inventory and decreases in accounts payable partially offset by an increase in customer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we generated $1,870,000 from operations which was mainly attributable to a decrease in accounts receivable and an increase in non-cash expenses partially offset by the net loss and an increase in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2026, we continued to make investments to enhance our competitiveness and market position. Cash used in investing activities of $485,000 and $2,113,000, during the six months ended June 30, 2026 and 2025, respectively, was for new machinery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investments made in 2026 and 2025 increased our production efficiency and speed, while maintaining closer tolerances. We intend to limit capital expenditures until such time as our debt situation is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Provided by (Used in)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cash provided by financing activities was $274,000. During this period, we increased borrowings under our Current Credit Facility by $541,000 (consisting of a net increase in Revolving Loan borrowings of $1,065,000 and a net decrease of $524,000 against the Term Loan). Additionally, we made payments of $118,000 pursuant to financing lease obligations, $14,000 on our Solar Credit Facility, $4,000 on a loan payable and $131,000 for taxes related to the net share settlement of equity awards.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off-balance sheet arrangements as of June 30,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accounting estimate is one that is both important to the portrayal of a company’s financial condition and results of operations and requires management’s most difficult, subjective or complex judgments, often as a result of the need to make estimates about the effect of matters that are inherently uncertain.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Estimates. The preparation of financial statements in accordance with generally accepted accounting principles in the U.S. requires us to make estimates and assumptions that affect the reported amounts of assets and liabilities and disclosures of contingent assets and liabilities at the date of the financial statements and the reported amounts of revenues and expenses during the reporting period. The financial statements include estimates based on currently available information and our judgment as to the outcome of future conditions and circumstances. Significant estimates in these financial statements include inventory valuation, useful lives and impairment of long-lived assets, income tax provision, and allowance for credit losses. Changes in the status of certain facts or circumstances could result in material changes to the estimates used in the preparation of the financial statements and actual results could differ from the estimates and assumptions.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Company’s critical accounting estimates as compared to the estimates described in the 2025 Annual Report which we believe are the most critical to our business and understanding of our results of operations and affect the more significant judgments and estimates that we use in preparation of our condensed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4"/>
      <w:bookmarkEnd w:id="10"/>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Acting Chief Executive Officer (“CEO”) and Vice President of Finance, who is our principal financial and accounting officer (“PFO”), evaluated the effectiveness of our disclosure controls and procedures as defined in Rule 13a-15(e) and 15d-15(e) under the Securities Exchange Act of 1934, as amended (the “Exchange Act”), as of June 30, 2026. Our disclosure controls and procedures are designed to provide reasonable assurance that information we are required to disclose in the reports we file or submit under the Exchange Act is accumulated and communicated to our management, including our CEO and PFO, as appropriate to allow timely decisions regarding required disclosures, and is recorded, processed, summarized, and reported within the time periods specified in the SEC’s rules and forms. Based on this evaluation, and as a result of the material weakness described below, our CEO and PFO have concluded that our disclosure controls and procedures were not effective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in our 2025 Form 10-K, in connection with their review of our internal controls as of and for the year ended December 31, 2025, our management identified a material weakness in our internal controls over financial reporting related to our IT systems which has yet to be remediated. During fiscal 2025, we implemented new controls and procedures to eliminate this weakness but additional enhancements and more formalized documentation are still required. Tests of such controls and procedures are ongoing and the material weakness noted will only be deemed to have been remediated after the new controls and procedures have been in place for a sufficient period and management has concluded through appropriate testing that the controls are operating effectively. As such, we consider this material weakness to not be remediated as of June 30, 2026. Based on this evaluation and as a result of this material weakness, we have concluded that our disclosure controls and procedures were not effective as of June 30, 2026. For more information, see Item 9A. Controls and Procedures, included in our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the Company is continuing to test such controls and procedures designed to remediate the aforementioned material weakness.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there have not been any changes in our internal control over financial reporting, as such term is defined in Rules 13a-15(f) and 15d-15(f) under the Exchange Act, during our most recently completed fiscal quarter which is the subject of this report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5"/>
      <w:bookmarkEnd w:id="11"/>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INFORMATION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06"/>
      <w:bookmarkEnd w:id="12"/>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encouraged to consider the risks described in our Registration Statement on Form S-4 filed with the SEC on July 22, 2026, our 2025 Form 10-K, our Management’s Discussion and Analysis of Financial Condition and Results of Operations contained in this Report and other information publicly disclosed or contained in documents we file with the Securities and Exchange Commission before purchasing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3" w:name="a_007"/>
      <w:bookmarkEnd w:id="13"/>
      <w:r>
        <w:rPr>
          <w:rFonts w:ascii="Times New Roman;Times;Serif" w:hAnsi="Times New Roman;Times;Serif"/>
          <w:b/>
          <w:i w:val="false"/>
          <w:caps w:val="false"/>
          <w:smallCaps w:val="false"/>
          <w:sz w:val="20"/>
        </w:rPr>
        <w:t>Item 6. Exhibits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1205"/>
        <w:gridCol w:w="60"/>
        <w:gridCol w:w="8940"/>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40" w:type="dxa"/>
            <w:tcBorders>
              <w:bottom w:val="single" w:sz="12" w:space="0" w:color="000000"/>
            </w:tcBorders>
            <w:tcMar>
              <w:bottom w:w="28" w:type="dxa"/>
            </w:tcMar>
            <w:vAlign w:val="center"/>
          </w:tcPr>
          <w:p>
            <w:pPr>
              <w:pStyle w:val="TableContents"/>
              <w:bidi w:val="0"/>
              <w:spacing w:before="0" w:after="283"/>
              <w:jc w:val="left"/>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2">
              <w:r>
                <w:rPr>
                  <w:rStyle w:val="InternetLink"/>
                </w:rPr>
                <w:t>Agreement and Plan of Merger by and among Air Industries Group, Tenax Aerospace Acquisition, LLC and Transitory Air Sub LLC (incorporated herein by reference to Exhibit 2.1 to the Company’s Current Report on Form 8-K filed February 17, 2026).</w:t>
              </w:r>
            </w:hyperlink>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3">
              <w:r>
                <w:rPr>
                  <w:rStyle w:val="InternetLink"/>
                </w:rPr>
                <w:t>Amendment to Agreement and Plan of Merger, dated as of June 8, 2026, among Tenax Aerospace Acquisition, LLC, the Company and Transitory Air Sub LLC (incorporated herein by reference to Exhibit 10.1 to the Company’s Current Report on Form 8-K filed June 12, 2026).</w:t>
              </w:r>
            </w:hyperlink>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4">
              <w:r>
                <w:rPr>
                  <w:rStyle w:val="InternetLink"/>
                </w:rPr>
                <w:t>Amended and Restated Agreement and Plan of Merger, dated as of July 2, 2026, among Tenax Aerospace Acquisition, LLC, the Company and Transitory Air Sub LLC (incorporated herein by reference to Exhibit 2.1 to the Company’s Current Report on Form 8-K filed July 9, 2026).</w:t>
              </w:r>
            </w:hyperlink>
            <w:r>
              <w:rPr/>
              <w:t xml:space="preserve">  </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5">
              <w:r>
                <w:rPr>
                  <w:rStyle w:val="InternetLink"/>
                </w:rPr>
                <w:t>Amendment to Amended and Restated Agreement and Plan of Merger dated as of July 31, 2026, among Tenax Aerospace Acquisition, LLC, the Company and Transitory Air Sub LLC (incorporated herein by reference to Exhibit 2.1 to the Company’s Current Report on Form 8-K filed August 3, 2026).</w:t>
              </w:r>
            </w:hyperlink>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6">
              <w:r>
                <w:rPr>
                  <w:rStyle w:val="InternetLink"/>
                </w:rPr>
                <w:t>Eleventh Amendment to Loan and Security Agreement with Webster Bank, National Association (incorporated herein by reference to Exhibit 10.1 to the Company’s Current Report on Form 8-K filed February 27, 2026).</w:t>
              </w:r>
            </w:hyperlink>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7">
              <w:r>
                <w:rPr>
                  <w:rStyle w:val="InternetLink"/>
                </w:rPr>
                <w:t>Form of Indemnification Agreement between the Company and each Director and Officer (incorporated herein by reference to Exhibit 10.15 to the Company’s Annual Report on Form 10-K filed March 27, 2026).</w:t>
              </w:r>
            </w:hyperlink>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8">
              <w:r>
                <w:rPr>
                  <w:rStyle w:val="InternetLink"/>
                </w:rPr>
                <w:t>Form of Restricted Stock Unit Award Agreement under 2022 Equity Incentive Plan As Amended and Restated as of May 23, 2024 (incorporated herein by reference to Exhibit 10.16 to the Company’s Annual Report on Form 10-K filed March 27, 2026).</w:t>
              </w:r>
            </w:hyperlink>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ea030084701ex31-1.htm">
              <w:r>
                <w:rPr>
                  <w:rStyle w:val="InternetLink"/>
                </w:rPr>
                <w:t>Certification of principal executive officer pursuant to Rule 13a-14 or Rule 15d-14 of Securities Exchange Act of 1934.</w:t>
              </w:r>
            </w:hyperlink>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ea030084701ex31-2.htm">
              <w:r>
                <w:rPr>
                  <w:rStyle w:val="InternetLink"/>
                </w:rPr>
                <w:t>Certification of principal financial officer pursuant to Rule 13a-14 or Rule 15d-14 of the Exchange Act of 1934.</w:t>
              </w:r>
            </w:hyperlink>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ea030084701ex32-1.htm">
              <w:r>
                <w:rPr>
                  <w:rStyle w:val="InternetLink"/>
                </w:rPr>
                <w:t>Certification of principal executive officer pursuant to Section 906 of Sarbanes-Oxley Act of 2002 (18 U.S.C. Section 1350).</w:t>
              </w:r>
            </w:hyperlink>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32.2**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ea030084701ex32-2.htm">
              <w:r>
                <w:rPr>
                  <w:rStyle w:val="InternetLink"/>
                </w:rPr>
                <w:t>Certification of principal financial officer pursuant to Section 906 of Sarbanes-Oxley Act of 2002 (18 U.S.C. Section 1350).</w:t>
              </w:r>
            </w:hyperlink>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left"/>
              <w:rPr/>
            </w:pPr>
            <w:r>
              <w:rPr/>
              <w:t>XBRL Presentation</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left"/>
              <w:rPr/>
            </w:pPr>
            <w:r>
              <w:rPr/>
              <w:t>Inline XBRL Instance Document.</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left"/>
              <w:rPr/>
            </w:pPr>
            <w:r>
              <w:rPr/>
              <w:t>Inline XBRL Taxonomy Extension Schema Document.</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left"/>
              <w:rPr/>
            </w:pPr>
            <w:r>
              <w:rPr/>
              <w:t>Inline XBRL Taxonomy Extension Calculation Linkbase Document.</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left"/>
              <w:rPr/>
            </w:pPr>
            <w:r>
              <w:rPr/>
              <w:t>Inline XBRL Taxonomy Extension Definition Linkbase Document.</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left"/>
              <w:rPr/>
            </w:pPr>
            <w:r>
              <w:rPr/>
              <w:t>Inline XBRL Taxonomy Extension Label Linkbase Document.</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left"/>
              <w:rPr/>
            </w:pPr>
            <w:r>
              <w:rPr/>
              <w:t>Inline XBRL Taxonomy Extension Presentation Linkbase Document.</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283"/>
              <w:jc w:val="left"/>
              <w:rPr>
                <w:sz w:val="20"/>
              </w:rPr>
            </w:pPr>
            <w:r>
              <w:rPr>
                <w:sz w:val="20"/>
              </w:rPr>
              <w:t>*</w:t>
            </w:r>
          </w:p>
        </w:tc>
        <w:tc>
          <w:tcPr>
            <w:tcW w:w="1655" w:type="dxa"/>
            <w:tcBorders/>
            <w:vAlign w:val="center"/>
          </w:tcPr>
          <w:p>
            <w:pPr>
              <w:pStyle w:val="TableContents"/>
              <w:bidi w:val="0"/>
              <w:spacing w:before="0" w:after="283"/>
              <w:jc w:val="left"/>
              <w:rPr>
                <w:sz w:val="20"/>
              </w:rPr>
            </w:pPr>
            <w:r>
              <w:rPr>
                <w:sz w:val="20"/>
              </w:rPr>
              <w:t>Filed herewith</w:t>
            </w:r>
          </w:p>
        </w:tc>
      </w:tr>
      <w:tr>
        <w:trPr/>
        <w:tc>
          <w:tcPr>
            <w:tcW w:w="275" w:type="dxa"/>
            <w:tcBorders/>
            <w:vAlign w:val="center"/>
          </w:tcPr>
          <w:p>
            <w:pPr>
              <w:pStyle w:val="TableContents"/>
              <w:bidi w:val="0"/>
              <w:spacing w:before="0" w:after="283"/>
              <w:jc w:val="left"/>
              <w:rPr>
                <w:sz w:val="20"/>
              </w:rPr>
            </w:pPr>
            <w:r>
              <w:rPr>
                <w:sz w:val="20"/>
              </w:rPr>
              <w:t>**</w:t>
            </w:r>
          </w:p>
        </w:tc>
        <w:tc>
          <w:tcPr>
            <w:tcW w:w="1655" w:type="dxa"/>
            <w:tcBorders/>
            <w:vAlign w:val="center"/>
          </w:tcPr>
          <w:p>
            <w:pPr>
              <w:pStyle w:val="TableContents"/>
              <w:bidi w:val="0"/>
              <w:spacing w:before="0" w:after="283"/>
              <w:jc w:val="left"/>
              <w:rPr>
                <w:sz w:val="20"/>
              </w:rPr>
            </w:pPr>
            <w:r>
              <w:rPr>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08"/>
      <w:bookmarkEnd w:id="14"/>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12, 2026</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365"/>
        <w:gridCol w:w="3530"/>
      </w:tblGrid>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left"/>
              <w:rPr>
                <w:b/>
                <w:sz w:val="20"/>
              </w:rPr>
            </w:pPr>
            <w:r>
              <w:rPr>
                <w:b/>
                <w:sz w:val="20"/>
              </w:rPr>
              <w:t>AIR INDUSTRIES GROUP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 </w:t>
            </w:r>
          </w:p>
        </w:tc>
        <w:tc>
          <w:tcPr>
            <w:tcW w:w="353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Brian Drisgula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sz w:val="20"/>
              </w:rPr>
            </w:pPr>
            <w:r>
              <w:rPr>
                <w:sz w:val="20"/>
              </w:rPr>
              <w:t>Brian Drisgula</w:t>
              <w:br/>
              <w:t>Vice President of Finance</w:t>
              <w:b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5" w:name="ea030084701ex31-1.htm"/>
      <w:bookmarkStart w:id="16" w:name="ksea030084701ex311"/>
      <w:bookmarkEnd w:id="15"/>
      <w:bookmarkEnd w:id="16"/>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EXECUTIVE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13a-14(a) UNDER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Scott Glassman, certify that:</w:t>
      </w:r>
    </w:p>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85"/>
        <w:gridCol w:w="6095"/>
      </w:tblGrid>
      <w:tr>
        <w:trPr/>
        <w:tc>
          <w:tcPr>
            <w:tcW w:w="185" w:type="dxa"/>
            <w:tcBorders/>
            <w:vAlign w:val="center"/>
          </w:tcPr>
          <w:p>
            <w:pPr>
              <w:pStyle w:val="TableContents"/>
              <w:bidi w:val="0"/>
              <w:spacing w:before="0" w:after="283"/>
              <w:jc w:val="left"/>
              <w:rPr>
                <w:sz w:val="20"/>
              </w:rPr>
            </w:pPr>
            <w:r>
              <w:rPr>
                <w:sz w:val="20"/>
              </w:rPr>
              <w:t>1.</w:t>
            </w:r>
          </w:p>
        </w:tc>
        <w:tc>
          <w:tcPr>
            <w:tcW w:w="6095" w:type="dxa"/>
            <w:tcBorders/>
            <w:vAlign w:val="center"/>
          </w:tcPr>
          <w:p>
            <w:pPr>
              <w:pStyle w:val="TableContents"/>
              <w:bidi w:val="0"/>
              <w:spacing w:before="0" w:after="283"/>
              <w:jc w:val="both"/>
              <w:rPr>
                <w:sz w:val="20"/>
              </w:rPr>
            </w:pPr>
            <w:r>
              <w:rPr>
                <w:sz w:val="20"/>
              </w:rPr>
              <w:t>I have reviewed this quarterly report on Form 10-Q of Air Industries Group;</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20"/>
              </w:rPr>
            </w:pPr>
            <w:r>
              <w:rPr>
                <w:sz w:val="20"/>
              </w:rPr>
              <w:t>a)</w:t>
            </w:r>
          </w:p>
        </w:tc>
        <w:tc>
          <w:tcPr>
            <w:tcW w:w="10038"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b)</w:t>
            </w:r>
          </w:p>
        </w:tc>
        <w:tc>
          <w:tcPr>
            <w:tcW w:w="10023"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c)</w:t>
            </w:r>
          </w:p>
        </w:tc>
        <w:tc>
          <w:tcPr>
            <w:tcW w:w="10032"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d)</w:t>
            </w:r>
          </w:p>
        </w:tc>
        <w:tc>
          <w:tcPr>
            <w:tcW w:w="10023"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5.</w:t>
            </w:r>
          </w:p>
        </w:tc>
        <w:tc>
          <w:tcPr>
            <w:tcW w:w="10046"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20"/>
              </w:rPr>
            </w:pPr>
            <w:r>
              <w:rPr>
                <w:sz w:val="20"/>
              </w:rPr>
              <w:t>a)</w:t>
            </w:r>
          </w:p>
        </w:tc>
        <w:tc>
          <w:tcPr>
            <w:tcW w:w="10030"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20"/>
              </w:rPr>
            </w:pPr>
            <w:r>
              <w:rPr>
                <w:sz w:val="20"/>
              </w:rPr>
              <w:t>b)</w:t>
            </w:r>
          </w:p>
        </w:tc>
        <w:tc>
          <w:tcPr>
            <w:tcW w:w="10000"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caps w:val="false"/>
          <w:smallCaps w:val="false"/>
        </w:rPr>
      </w:pPr>
      <w:r>
        <w:rPr>
          <w:caps w:val="false"/>
          <w:smallCaps w:val="false"/>
        </w:rPr>
        <w:t> </w:t>
      </w:r>
    </w:p>
    <w:tbl>
      <w:tblPr>
        <w:tblW w:w="6140" w:type="dxa"/>
        <w:jc w:val="left"/>
        <w:tblInd w:w="0" w:type="dxa"/>
        <w:tblLayout w:type="fixed"/>
        <w:tblCellMar>
          <w:top w:w="0" w:type="dxa"/>
          <w:left w:w="0" w:type="dxa"/>
          <w:bottom w:w="0" w:type="dxa"/>
          <w:right w:w="0" w:type="dxa"/>
        </w:tblCellMar>
      </w:tblPr>
      <w:tblGrid>
        <w:gridCol w:w="6065"/>
        <w:gridCol w:w="75"/>
      </w:tblGrid>
      <w:tr>
        <w:trPr/>
        <w:tc>
          <w:tcPr>
            <w:tcW w:w="6065" w:type="dxa"/>
            <w:tcBorders/>
            <w:vAlign w:val="center"/>
          </w:tcPr>
          <w:p>
            <w:pPr>
              <w:pStyle w:val="TableContents"/>
              <w:bidi w:val="0"/>
              <w:spacing w:before="0" w:after="283"/>
              <w:jc w:val="left"/>
              <w:rPr>
                <w:sz w:val="20"/>
              </w:rPr>
            </w:pPr>
            <w:r>
              <w:rPr>
                <w:sz w:val="20"/>
              </w:rPr>
              <w:t>Dated: August 12, 2026</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6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Scott Glassman</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sz w:val="20"/>
              </w:rPr>
            </w:pPr>
            <w:r>
              <w:rPr>
                <w:sz w:val="20"/>
              </w:rPr>
              <w:t>Scott Glassman</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sz w:val="20"/>
              </w:rPr>
            </w:pPr>
            <w:r>
              <w:rPr>
                <w:sz w:val="20"/>
              </w:rPr>
              <w:t>Acting Chief Executive Officer and President (Principal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7" w:name="ea030084701ex31-2.htm"/>
      <w:bookmarkStart w:id="18" w:name="ksea030084701ex312"/>
      <w:bookmarkEnd w:id="17"/>
      <w:bookmarkEnd w:id="18"/>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13a-14(a) UNDER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Brian Drisgula, certify that:</w:t>
      </w:r>
    </w:p>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85"/>
        <w:gridCol w:w="6095"/>
      </w:tblGrid>
      <w:tr>
        <w:trPr/>
        <w:tc>
          <w:tcPr>
            <w:tcW w:w="185" w:type="dxa"/>
            <w:tcBorders/>
            <w:vAlign w:val="center"/>
          </w:tcPr>
          <w:p>
            <w:pPr>
              <w:pStyle w:val="TableContents"/>
              <w:bidi w:val="0"/>
              <w:spacing w:before="0" w:after="283"/>
              <w:jc w:val="left"/>
              <w:rPr>
                <w:sz w:val="20"/>
              </w:rPr>
            </w:pPr>
            <w:r>
              <w:rPr>
                <w:sz w:val="20"/>
              </w:rPr>
              <w:t>1.</w:t>
            </w:r>
          </w:p>
        </w:tc>
        <w:tc>
          <w:tcPr>
            <w:tcW w:w="6095" w:type="dxa"/>
            <w:tcBorders/>
            <w:vAlign w:val="center"/>
          </w:tcPr>
          <w:p>
            <w:pPr>
              <w:pStyle w:val="TableContents"/>
              <w:bidi w:val="0"/>
              <w:spacing w:before="0" w:after="283"/>
              <w:jc w:val="both"/>
              <w:rPr>
                <w:sz w:val="20"/>
              </w:rPr>
            </w:pPr>
            <w:r>
              <w:rPr>
                <w:sz w:val="20"/>
              </w:rPr>
              <w:t>I have reviewed this quarterly report on Form 10-Q of Air Industries Group;</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20"/>
              </w:rPr>
            </w:pPr>
            <w:r>
              <w:rPr>
                <w:sz w:val="20"/>
              </w:rPr>
              <w:t>a)</w:t>
            </w:r>
          </w:p>
        </w:tc>
        <w:tc>
          <w:tcPr>
            <w:tcW w:w="10038"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b)</w:t>
            </w:r>
          </w:p>
        </w:tc>
        <w:tc>
          <w:tcPr>
            <w:tcW w:w="10023"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c)</w:t>
            </w:r>
          </w:p>
        </w:tc>
        <w:tc>
          <w:tcPr>
            <w:tcW w:w="10032"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d)</w:t>
            </w:r>
          </w:p>
        </w:tc>
        <w:tc>
          <w:tcPr>
            <w:tcW w:w="10023"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5.</w:t>
            </w:r>
          </w:p>
        </w:tc>
        <w:tc>
          <w:tcPr>
            <w:tcW w:w="10046"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20"/>
              </w:rPr>
            </w:pPr>
            <w:r>
              <w:rPr>
                <w:sz w:val="20"/>
              </w:rPr>
              <w:t>a)</w:t>
            </w:r>
          </w:p>
        </w:tc>
        <w:tc>
          <w:tcPr>
            <w:tcW w:w="10030"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20"/>
              </w:rPr>
            </w:pPr>
            <w:r>
              <w:rPr>
                <w:sz w:val="20"/>
              </w:rPr>
              <w:t>b)</w:t>
            </w:r>
          </w:p>
        </w:tc>
        <w:tc>
          <w:tcPr>
            <w:tcW w:w="10000"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4415"/>
        <w:gridCol w:w="75"/>
      </w:tblGrid>
      <w:tr>
        <w:trPr/>
        <w:tc>
          <w:tcPr>
            <w:tcW w:w="4415" w:type="dxa"/>
            <w:tcBorders/>
            <w:vAlign w:val="center"/>
          </w:tcPr>
          <w:p>
            <w:pPr>
              <w:pStyle w:val="TableContents"/>
              <w:bidi w:val="0"/>
              <w:spacing w:before="0" w:after="283"/>
              <w:jc w:val="left"/>
              <w:rPr>
                <w:sz w:val="20"/>
              </w:rPr>
            </w:pPr>
            <w:r>
              <w:rPr>
                <w:sz w:val="20"/>
              </w:rPr>
              <w:t>Dated: August 12, 2026</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1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Brian Drisgula</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sz w:val="20"/>
              </w:rPr>
            </w:pPr>
            <w:r>
              <w:rPr>
                <w:sz w:val="20"/>
              </w:rPr>
              <w:t>Brian Drisgula</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sz w:val="20"/>
              </w:rPr>
            </w:pPr>
            <w:r>
              <w:rPr>
                <w:sz w:val="20"/>
              </w:rPr>
              <w:t>Vice President of Finance (Principal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9" w:name="ea030084701ex32-1.htm"/>
      <w:bookmarkStart w:id="20" w:name="ksea030084701ex321"/>
      <w:bookmarkEnd w:id="19"/>
      <w:bookmarkEnd w:id="20"/>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EXECUTIVE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OF THE SARBANES-OXLEY ACT OF 2002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Air Industries Group, a Nevada corporation (the “Company”), on Form 10-Q for the period ended June 30, 2026, as filed with the Securities and Exchange Commission (the “Report”) Scott Glassman, Acting, Chief Executive Officer of the Company, does hereby certify, pursuant to Section 906 of the Sarbanes-Oxley Act of 2002 (18 U.S.C. ss. 1350), that:</w:t>
      </w:r>
    </w:p>
    <w:p>
      <w:pPr>
        <w:pStyle w:val="TextBody"/>
        <w:bidi w:val="0"/>
        <w:spacing w:before="0" w:after="0"/>
        <w:ind w:left="0" w:right="0" w:firstLine="360"/>
        <w:jc w:val="both"/>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245"/>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957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20"/>
              </w:rPr>
            </w:pPr>
            <w:r>
              <w:rPr>
                <w:sz w:val="20"/>
              </w:rPr>
              <w:t>(2)</w:t>
            </w:r>
          </w:p>
        </w:tc>
        <w:tc>
          <w:tcPr>
            <w:tcW w:w="9932"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 of operations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12, 2026</w:t>
      </w:r>
    </w:p>
    <w:p>
      <w:pPr>
        <w:pStyle w:val="TextBody"/>
        <w:bidi w:val="0"/>
        <w:spacing w:before="0" w:after="0"/>
        <w:ind w:left="0" w:right="0" w:hanging="0"/>
        <w:jc w:val="left"/>
        <w:rPr>
          <w:caps w:val="false"/>
          <w:smallCaps w:val="false"/>
        </w:rPr>
      </w:pPr>
      <w:r>
        <w:rPr>
          <w:caps w:val="false"/>
          <w:smallCaps w:val="false"/>
        </w:rPr>
        <w:t> </w:t>
      </w:r>
    </w:p>
    <w:tbl>
      <w:tblPr>
        <w:tblW w:w="3770" w:type="dxa"/>
        <w:jc w:val="left"/>
        <w:tblInd w:w="0" w:type="dxa"/>
        <w:tblLayout w:type="fixed"/>
        <w:tblCellMar>
          <w:top w:w="0" w:type="dxa"/>
          <w:left w:w="0" w:type="dxa"/>
          <w:bottom w:w="28" w:type="dxa"/>
          <w:right w:w="0" w:type="dxa"/>
        </w:tblCellMar>
      </w:tblPr>
      <w:tblGrid>
        <w:gridCol w:w="3695"/>
        <w:gridCol w:w="75"/>
      </w:tblGrid>
      <w:tr>
        <w:trPr/>
        <w:tc>
          <w:tcPr>
            <w:tcW w:w="3695" w:type="dxa"/>
            <w:tcBorders>
              <w:bottom w:val="single" w:sz="12" w:space="0" w:color="000000"/>
            </w:tcBorders>
            <w:vAlign w:val="center"/>
          </w:tcPr>
          <w:p>
            <w:pPr>
              <w:pStyle w:val="TableContents"/>
              <w:bidi w:val="0"/>
              <w:spacing w:before="0" w:after="283"/>
              <w:jc w:val="left"/>
              <w:rPr>
                <w:i/>
                <w:sz w:val="20"/>
              </w:rPr>
            </w:pPr>
            <w:r>
              <w:rPr>
                <w:i/>
                <w:sz w:val="20"/>
              </w:rPr>
              <w:t>/s/ Scott Glassman</w:t>
            </w:r>
          </w:p>
        </w:tc>
        <w:tc>
          <w:tcPr>
            <w:tcW w:w="75" w:type="dxa"/>
            <w:tcBorders/>
            <w:tcMar>
              <w:bottom w:w="0" w:type="dxa"/>
            </w:tcMar>
            <w:vAlign w:val="center"/>
          </w:tcPr>
          <w:p>
            <w:pPr>
              <w:pStyle w:val="TableContents"/>
              <w:bidi w:val="0"/>
              <w:spacing w:before="0" w:after="283"/>
              <w:jc w:val="left"/>
              <w:rPr/>
            </w:pPr>
            <w:r>
              <w:rPr/>
              <w:t> </w:t>
            </w:r>
          </w:p>
        </w:tc>
      </w:tr>
      <w:tr>
        <w:trPr/>
        <w:tc>
          <w:tcPr>
            <w:tcW w:w="3695" w:type="dxa"/>
            <w:tcBorders/>
            <w:tcMar>
              <w:bottom w:w="0" w:type="dxa"/>
            </w:tcMar>
            <w:vAlign w:val="center"/>
          </w:tcPr>
          <w:p>
            <w:pPr>
              <w:pStyle w:val="TableContents"/>
              <w:bidi w:val="0"/>
              <w:spacing w:before="0" w:after="283"/>
              <w:jc w:val="left"/>
              <w:rPr>
                <w:sz w:val="20"/>
              </w:rPr>
            </w:pPr>
            <w:r>
              <w:rPr>
                <w:sz w:val="20"/>
              </w:rPr>
              <w:t>Scott Glassman</w:t>
            </w:r>
          </w:p>
        </w:tc>
        <w:tc>
          <w:tcPr>
            <w:tcW w:w="75" w:type="dxa"/>
            <w:tcBorders/>
            <w:tcMar>
              <w:bottom w:w="0" w:type="dxa"/>
            </w:tcMar>
            <w:vAlign w:val="center"/>
          </w:tcPr>
          <w:p>
            <w:pPr>
              <w:pStyle w:val="TableContents"/>
              <w:bidi w:val="0"/>
              <w:spacing w:before="0" w:after="283"/>
              <w:jc w:val="left"/>
              <w:rPr/>
            </w:pPr>
            <w:r>
              <w:rPr/>
              <w:t> </w:t>
            </w:r>
          </w:p>
        </w:tc>
      </w:tr>
      <w:tr>
        <w:trPr/>
        <w:tc>
          <w:tcPr>
            <w:tcW w:w="3695" w:type="dxa"/>
            <w:tcBorders/>
            <w:tcMar>
              <w:bottom w:w="0" w:type="dxa"/>
            </w:tcMar>
            <w:vAlign w:val="center"/>
          </w:tcPr>
          <w:p>
            <w:pPr>
              <w:pStyle w:val="TableContents"/>
              <w:bidi w:val="0"/>
              <w:spacing w:before="0" w:after="283"/>
              <w:jc w:val="left"/>
              <w:rPr>
                <w:sz w:val="20"/>
              </w:rPr>
            </w:pPr>
            <w:r>
              <w:rPr>
                <w:sz w:val="20"/>
              </w:rPr>
              <w:t>Acting Chief Executive Officer and President</w:t>
              <w:br/>
              <w:t>(Principal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30084701ex32-2.htm"/>
      <w:bookmarkStart w:id="22" w:name="ksea030084701ex322"/>
      <w:bookmarkEnd w:id="21"/>
      <w:bookmarkEnd w:id="22"/>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OF THE SARBANES-OXLEY ACT OF 2002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Air Industries Group, a Nevada corporation (the “Company”), on Form 10-Q for the period ended June 30, 2026, as filed with the Securities and Exchange Commission (the “Report”), Brian Drisgula, Principal Financial Officer of the Company, does hereby certify, pursuant to Section 906 of the Sarbanes-Oxley Act of 2002 (18 U.S.C. ss. 1350), that:</w:t>
      </w:r>
    </w:p>
    <w:p>
      <w:pPr>
        <w:pStyle w:val="TextBody"/>
        <w:bidi w:val="0"/>
        <w:spacing w:before="0" w:after="0"/>
        <w:ind w:left="0" w:right="0" w:firstLine="360"/>
        <w:jc w:val="both"/>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245"/>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957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20"/>
              </w:rPr>
            </w:pPr>
            <w:r>
              <w:rPr>
                <w:sz w:val="20"/>
              </w:rPr>
              <w:t>(2)</w:t>
            </w:r>
          </w:p>
        </w:tc>
        <w:tc>
          <w:tcPr>
            <w:tcW w:w="9932"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 of operations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12, 2026</w:t>
      </w:r>
    </w:p>
    <w:p>
      <w:pPr>
        <w:pStyle w:val="TextBody"/>
        <w:bidi w:val="0"/>
        <w:spacing w:before="0" w:after="0"/>
        <w:ind w:left="0" w:right="0" w:hanging="0"/>
        <w:jc w:val="left"/>
        <w:rPr>
          <w:caps w:val="false"/>
          <w:smallCaps w:val="false"/>
        </w:rPr>
      </w:pPr>
      <w:r>
        <w:rPr>
          <w:caps w:val="false"/>
          <w:smallCaps w:val="false"/>
        </w:rPr>
        <w:t> </w:t>
      </w:r>
    </w:p>
    <w:tbl>
      <w:tblPr>
        <w:tblW w:w="2375" w:type="dxa"/>
        <w:jc w:val="left"/>
        <w:tblInd w:w="0" w:type="dxa"/>
        <w:tblLayout w:type="fixed"/>
        <w:tblCellMar>
          <w:top w:w="0" w:type="dxa"/>
          <w:left w:w="0" w:type="dxa"/>
          <w:bottom w:w="28" w:type="dxa"/>
          <w:right w:w="0" w:type="dxa"/>
        </w:tblCellMar>
      </w:tblPr>
      <w:tblGrid>
        <w:gridCol w:w="2300"/>
        <w:gridCol w:w="75"/>
      </w:tblGrid>
      <w:tr>
        <w:trPr/>
        <w:tc>
          <w:tcPr>
            <w:tcW w:w="2300" w:type="dxa"/>
            <w:tcBorders>
              <w:bottom w:val="single" w:sz="12" w:space="0" w:color="000000"/>
            </w:tcBorders>
            <w:vAlign w:val="center"/>
          </w:tcPr>
          <w:p>
            <w:pPr>
              <w:pStyle w:val="TableContents"/>
              <w:bidi w:val="0"/>
              <w:spacing w:before="0" w:after="283"/>
              <w:jc w:val="left"/>
              <w:rPr>
                <w:i/>
                <w:sz w:val="20"/>
              </w:rPr>
            </w:pPr>
            <w:r>
              <w:rPr>
                <w:i/>
                <w:sz w:val="20"/>
              </w:rPr>
              <w:t>/s/ Brian Drisgula</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Drisgula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of Finance</w:t>
              <w:br/>
              <w:t>(Principal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9891/000121390026016863/ea027726901ex2-1_airindus.htm" TargetMode="External"/><Relationship Id="rId3" Type="http://schemas.openxmlformats.org/officeDocument/2006/relationships/hyperlink" Target="http://www.sec.gov/Archives/edgar/data/1009891/000121390026068306/ea029403901ex10-1.htm" TargetMode="External"/><Relationship Id="rId4" Type="http://schemas.openxmlformats.org/officeDocument/2006/relationships/hyperlink" Target="http://www.sec.gov/Archives/edgar/data/1009891/000121390026076769/ea029746201ex2-1.htm" TargetMode="External"/><Relationship Id="rId5" Type="http://schemas.openxmlformats.org/officeDocument/2006/relationships/hyperlink" Target="https://www.sec.gov/Archives/edgar/data/1009891/000121390026084279/ea030019601ex2-1.htm" TargetMode="External"/><Relationship Id="rId6" Type="http://schemas.openxmlformats.org/officeDocument/2006/relationships/hyperlink" Target="https://www.sec.gov/Archives/edgar/data/1009891/000121390026021066/ea0226202601ex10-1.htm" TargetMode="External"/><Relationship Id="rId7" Type="http://schemas.openxmlformats.org/officeDocument/2006/relationships/hyperlink" Target="https://www.sec.gov/Archives/edgar/data/1009891/000121390026035731/ea028229801ex10-15.htm" TargetMode="External"/><Relationship Id="rId8" Type="http://schemas.openxmlformats.org/officeDocument/2006/relationships/hyperlink" Target="https://www.sec.gov/Archives/edgar/data/1009891/000121390026035731/ea028229801ex10-16.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18094</Words>
  <Characters>96642</Characters>
  <CharactersWithSpaces>116271</CharactersWithSpaces>
  <Paragraphs>5544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