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2340" w:hanging="252"/>
        <w:spacing w:after="0"/>
        <w:tabs>
          <w:tab w:leader="none" w:pos="2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300" w:hanging="201"/>
        <w:spacing w:after="0"/>
        <w:tabs>
          <w:tab w:leader="none" w:pos="2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11"/>
          </w:tcPr>
          <w:p>
            <w:pPr>
              <w:jc w:val="center"/>
              <w:ind w:right="340"/>
              <w:spacing w:after="0"/>
              <w:rPr>
                <w:sz w:val="20"/>
                <w:szCs w:val="20"/>
                <w:color w:val="auto"/>
              </w:rPr>
            </w:pPr>
            <w:r>
              <w:rPr>
                <w:rFonts w:ascii="Arial" w:cs="Arial" w:eastAsia="Arial" w:hAnsi="Arial"/>
                <w:sz w:val="18"/>
                <w:szCs w:val="18"/>
                <w:color w:val="auto"/>
                <w:w w:val="91"/>
              </w:rPr>
              <w:t>For the transition period from ______ to_______</w:t>
            </w:r>
          </w:p>
        </w:tc>
        <w:tc>
          <w:tcPr>
            <w:tcW w:w="348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w w:val="89"/>
              </w:rPr>
              <w:t>Commission File No. 001-35927</w:t>
            </w:r>
          </w:p>
        </w:tc>
        <w:tc>
          <w:tcPr>
            <w:tcW w:w="3480" w:type="dxa"/>
            <w:vAlign w:val="bottom"/>
          </w:tcPr>
          <w:p>
            <w:pPr>
              <w:spacing w:after="0"/>
              <w:rPr>
                <w:sz w:val="24"/>
                <w:szCs w:val="24"/>
                <w:color w:val="auto"/>
              </w:rPr>
            </w:pPr>
          </w:p>
        </w:tc>
      </w:tr>
      <w:tr>
        <w:trPr>
          <w:trHeight w:val="392"/>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gridSpan w:val="9"/>
          </w:tcPr>
          <w:p>
            <w:pPr>
              <w:jc w:val="center"/>
              <w:ind w:right="1060"/>
              <w:spacing w:after="0"/>
              <w:rPr>
                <w:sz w:val="20"/>
                <w:szCs w:val="20"/>
                <w:color w:val="auto"/>
              </w:rPr>
            </w:pPr>
            <w:r>
              <w:rPr>
                <w:rFonts w:ascii="Arial" w:cs="Arial" w:eastAsia="Arial" w:hAnsi="Arial"/>
                <w:sz w:val="18"/>
                <w:szCs w:val="18"/>
                <w:b w:val="1"/>
                <w:bCs w:val="1"/>
                <w:color w:val="auto"/>
                <w:w w:val="99"/>
              </w:rPr>
              <w:t>AIR INDUSTRIES GROUP</w:t>
            </w:r>
          </w:p>
        </w:tc>
        <w:tc>
          <w:tcPr>
            <w:tcW w:w="3480" w:type="dxa"/>
            <w:vAlign w:val="bottom"/>
          </w:tcPr>
          <w:p>
            <w:pPr>
              <w:spacing w:after="0"/>
              <w:rPr>
                <w:sz w:val="24"/>
                <w:szCs w:val="24"/>
                <w:color w:val="auto"/>
              </w:rPr>
            </w:pPr>
          </w:p>
        </w:tc>
      </w:tr>
      <w:tr>
        <w:trPr>
          <w:trHeight w:val="20"/>
        </w:trPr>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12"/>
          </w:tcPr>
          <w:p>
            <w:pPr>
              <w:jc w:val="center"/>
              <w:ind w:right="14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0"/>
                <w:szCs w:val="20"/>
                <w:color w:val="auto"/>
              </w:rPr>
            </w:pPr>
          </w:p>
        </w:tc>
      </w:tr>
      <w:tr>
        <w:trPr>
          <w:trHeight w:val="439"/>
        </w:trPr>
        <w:tc>
          <w:tcPr>
            <w:tcW w:w="3300" w:type="dxa"/>
            <w:vAlign w:val="bottom"/>
            <w:tcBorders>
              <w:bottom w:val="single" w:sz="8" w:color="auto"/>
            </w:tcBorders>
          </w:tcPr>
          <w:p>
            <w:pPr>
              <w:jc w:val="center"/>
              <w:ind w:left="2130"/>
              <w:spacing w:after="0"/>
              <w:rPr>
                <w:sz w:val="20"/>
                <w:szCs w:val="20"/>
                <w:color w:val="auto"/>
              </w:rPr>
            </w:pPr>
            <w:r>
              <w:rPr>
                <w:rFonts w:ascii="Arial" w:cs="Arial" w:eastAsia="Arial" w:hAnsi="Arial"/>
                <w:sz w:val="18"/>
                <w:szCs w:val="18"/>
                <w:color w:val="auto"/>
                <w:w w:val="90"/>
              </w:rPr>
              <w:t>Nevada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color w:val="auto"/>
                <w:w w:val="89"/>
              </w:rPr>
              <w:t>80-0948413</w:t>
            </w:r>
          </w:p>
        </w:tc>
      </w:tr>
      <w:tr>
        <w:trPr>
          <w:trHeight w:val="202"/>
        </w:trPr>
        <w:tc>
          <w:tcPr>
            <w:tcW w:w="5520" w:type="dxa"/>
            <w:vAlign w:val="bottom"/>
            <w:gridSpan w:val="7"/>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760" w:type="dxa"/>
            <w:vAlign w:val="bottom"/>
            <w:gridSpan w:val="14"/>
          </w:tcPr>
          <w:p>
            <w:pPr>
              <w:jc w:val="center"/>
              <w:ind w:right="224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930"/>
              <w:spacing w:after="0"/>
              <w:rPr>
                <w:sz w:val="20"/>
                <w:szCs w:val="20"/>
                <w:color w:val="auto"/>
              </w:rPr>
            </w:pPr>
            <w:r>
              <w:rPr>
                <w:rFonts w:ascii="Arial" w:cs="Arial" w:eastAsia="Arial" w:hAnsi="Arial"/>
                <w:sz w:val="18"/>
                <w:szCs w:val="18"/>
                <w:color w:val="auto"/>
                <w:w w:val="95"/>
              </w:rPr>
              <w:t>Identification No.)</w:t>
            </w:r>
          </w:p>
        </w:tc>
      </w:tr>
      <w:tr>
        <w:trPr>
          <w:trHeight w:val="391"/>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1460 Fifth Avenue, Bay Shore, New York 11706</w:t>
            </w:r>
          </w:p>
        </w:tc>
        <w:tc>
          <w:tcPr>
            <w:tcW w:w="380" w:type="dxa"/>
            <w:vAlign w:val="bottom"/>
            <w:gridSpan w:val="3"/>
          </w:tcPr>
          <w:p>
            <w:pPr>
              <w:spacing w:after="0"/>
              <w:rPr>
                <w:sz w:val="24"/>
                <w:szCs w:val="24"/>
                <w:color w:val="auto"/>
              </w:rPr>
            </w:pPr>
          </w:p>
        </w:tc>
        <w:tc>
          <w:tcPr>
            <w:tcW w:w="3480" w:type="dxa"/>
            <w:vAlign w:val="bottom"/>
          </w:tcPr>
          <w:p>
            <w:pPr>
              <w:spacing w:after="0"/>
              <w:rPr>
                <w:sz w:val="24"/>
                <w:szCs w:val="24"/>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80" w:type="dxa"/>
            <w:vAlign w:val="bottom"/>
            <w:gridSpan w:val="10"/>
          </w:tcPr>
          <w:p>
            <w:pPr>
              <w:jc w:val="center"/>
              <w:ind w:right="38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0"/>
                <w:szCs w:val="20"/>
                <w:color w:val="auto"/>
              </w:rPr>
            </w:pPr>
          </w:p>
        </w:tc>
      </w:tr>
      <w:tr>
        <w:trPr>
          <w:trHeight w:val="392"/>
        </w:trPr>
        <w:tc>
          <w:tcPr>
            <w:tcW w:w="3300" w:type="dxa"/>
            <w:vAlign w:val="bottom"/>
          </w:tcPr>
          <w:p>
            <w:pPr>
              <w:spacing w:after="0"/>
              <w:rPr>
                <w:sz w:val="24"/>
                <w:szCs w:val="24"/>
                <w:color w:val="auto"/>
              </w:rPr>
            </w:pPr>
          </w:p>
        </w:tc>
        <w:tc>
          <w:tcPr>
            <w:tcW w:w="1760" w:type="dxa"/>
            <w:vAlign w:val="bottom"/>
            <w:gridSpan w:val="5"/>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(631) 968-5000</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7"/>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12"/>
          </w:tcPr>
          <w:p>
            <w:pPr>
              <w:jc w:val="center"/>
              <w:ind w:right="140"/>
              <w:spacing w:after="0"/>
              <w:rPr>
                <w:sz w:val="20"/>
                <w:szCs w:val="20"/>
                <w:color w:val="auto"/>
              </w:rPr>
            </w:pPr>
            <w:r>
              <w:rPr>
                <w:rFonts w:ascii="Arial" w:cs="Arial" w:eastAsia="Arial" w:hAnsi="Arial"/>
                <w:sz w:val="18"/>
                <w:szCs w:val="18"/>
                <w:color w:val="auto"/>
                <w:w w:val="89"/>
              </w:rPr>
              <w:t>(Registrant’s telephone number, including area code)</w:t>
            </w:r>
          </w:p>
        </w:tc>
        <w:tc>
          <w:tcPr>
            <w:tcW w:w="348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4460" w:type="dxa"/>
            <w:vAlign w:val="bottom"/>
            <w:gridSpan w:val="13"/>
          </w:tcPr>
          <w:p>
            <w:pPr>
              <w:jc w:val="center"/>
              <w:ind w:left="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4"/>
                <w:szCs w:val="24"/>
                <w:color w:val="auto"/>
              </w:rPr>
            </w:pPr>
          </w:p>
        </w:tc>
      </w:tr>
      <w:tr>
        <w:trPr>
          <w:trHeight w:val="418"/>
        </w:trPr>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jc w:val="center"/>
              <w:ind w:right="10"/>
              <w:spacing w:after="0"/>
              <w:rPr>
                <w:sz w:val="20"/>
                <w:szCs w:val="20"/>
                <w:color w:val="auto"/>
              </w:rPr>
            </w:pPr>
            <w:r>
              <w:rPr>
                <w:rFonts w:ascii="Arial" w:cs="Arial" w:eastAsia="Arial" w:hAnsi="Arial"/>
                <w:sz w:val="18"/>
                <w:szCs w:val="18"/>
                <w:color w:val="auto"/>
                <w:w w:val="89"/>
              </w:rPr>
              <w:t>Name of each Exchange on</w:t>
            </w:r>
          </w:p>
        </w:tc>
      </w:tr>
      <w:tr>
        <w:trPr>
          <w:trHeight w:val="237"/>
        </w:trPr>
        <w:tc>
          <w:tcPr>
            <w:tcW w:w="3300" w:type="dxa"/>
            <w:vAlign w:val="bottom"/>
          </w:tcPr>
          <w:p>
            <w:pPr>
              <w:jc w:val="center"/>
              <w:ind w:left="230"/>
              <w:spacing w:after="0"/>
              <w:rPr>
                <w:sz w:val="20"/>
                <w:szCs w:val="20"/>
                <w:color w:val="auto"/>
              </w:rPr>
            </w:pPr>
            <w:r>
              <w:rPr>
                <w:rFonts w:ascii="Arial" w:cs="Arial" w:eastAsia="Arial" w:hAnsi="Arial"/>
                <w:sz w:val="18"/>
                <w:szCs w:val="18"/>
                <w:color w:val="auto"/>
                <w:w w:val="91"/>
              </w:rPr>
              <w:t>Title of Each Class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20" w:type="dxa"/>
            <w:vAlign w:val="bottom"/>
            <w:gridSpan w:val="9"/>
          </w:tcPr>
          <w:p>
            <w:pPr>
              <w:jc w:val="center"/>
              <w:ind w:right="1020"/>
              <w:spacing w:after="0"/>
              <w:rPr>
                <w:sz w:val="20"/>
                <w:szCs w:val="20"/>
                <w:color w:val="auto"/>
              </w:rPr>
            </w:pPr>
            <w:r>
              <w:rPr>
                <w:rFonts w:ascii="Arial" w:cs="Arial" w:eastAsia="Arial" w:hAnsi="Arial"/>
                <w:sz w:val="18"/>
                <w:szCs w:val="18"/>
                <w:color w:val="auto"/>
                <w:w w:val="92"/>
              </w:rPr>
              <w:t>Trading Symbol(s)</w:t>
            </w:r>
          </w:p>
        </w:tc>
        <w:tc>
          <w:tcPr>
            <w:tcW w:w="3480" w:type="dxa"/>
            <w:vAlign w:val="bottom"/>
          </w:tcPr>
          <w:p>
            <w:pPr>
              <w:jc w:val="center"/>
              <w:ind w:right="10"/>
              <w:spacing w:after="0"/>
              <w:rPr>
                <w:sz w:val="20"/>
                <w:szCs w:val="20"/>
                <w:color w:val="auto"/>
              </w:rPr>
            </w:pPr>
            <w:r>
              <w:rPr>
                <w:rFonts w:ascii="Arial" w:cs="Arial" w:eastAsia="Arial" w:hAnsi="Arial"/>
                <w:sz w:val="18"/>
                <w:szCs w:val="18"/>
                <w:color w:val="auto"/>
                <w:w w:val="91"/>
              </w:rPr>
              <w:t>which Registered</w:t>
            </w:r>
          </w:p>
        </w:tc>
      </w:tr>
      <w:tr>
        <w:trPr>
          <w:trHeight w:val="216"/>
        </w:trPr>
        <w:tc>
          <w:tcPr>
            <w:tcW w:w="330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2"/>
              </w:rPr>
              <w:t>Common Stock</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gridSpan w:val="6"/>
            <w:shd w:val="clear" w:color="auto" w:fill="CCEEFF"/>
          </w:tcPr>
          <w:p>
            <w:pPr>
              <w:jc w:val="center"/>
              <w:ind w:right="1220"/>
              <w:spacing w:after="0"/>
              <w:rPr>
                <w:sz w:val="20"/>
                <w:szCs w:val="20"/>
                <w:color w:val="auto"/>
              </w:rPr>
            </w:pPr>
            <w:r>
              <w:rPr>
                <w:rFonts w:ascii="Arial" w:cs="Arial" w:eastAsia="Arial" w:hAnsi="Arial"/>
                <w:sz w:val="18"/>
                <w:szCs w:val="18"/>
                <w:color w:val="auto"/>
              </w:rPr>
              <w:t>AIRI</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4"/>
              </w:rPr>
              <w:t>NYSE-American</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3" w:right="339" w:bottom="1440" w:gutter="0" w:footer="0" w:header="0"/>
        </w:sectPr>
      </w:pPr>
    </w:p>
    <w:p>
      <w:pPr>
        <w:spacing w:after="0" w:line="184"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Large Accelerated Filer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720" w:space="80"/>
            <w:col w:w="4240" w:space="720"/>
            <w:col w:w="4480"/>
          </w:cols>
          <w:pgMar w:left="320" w:top="513"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32,128,006 shares of the registrant’s common stock outstanding as of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60" w:type="dxa"/>
            <w:vAlign w:val="bottom"/>
            <w:gridSpan w:val="2"/>
          </w:tcPr>
          <w:p>
            <w:pPr>
              <w:ind w:left="2060"/>
              <w:spacing w:after="0"/>
              <w:rPr>
                <w:sz w:val="20"/>
                <w:szCs w:val="20"/>
                <w:color w:val="auto"/>
              </w:rPr>
            </w:pPr>
            <w:r>
              <w:rPr>
                <w:rFonts w:ascii="Arial" w:cs="Arial" w:eastAsia="Arial" w:hAnsi="Arial"/>
                <w:sz w:val="18"/>
                <w:szCs w:val="18"/>
                <w:color w:val="auto"/>
              </w:rPr>
              <w:t>INDEX</w:t>
            </w:r>
          </w:p>
        </w:tc>
        <w:tc>
          <w:tcPr>
            <w:tcW w:w="100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 No.</w:t>
            </w: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00" w:type="dxa"/>
            <w:vAlign w:val="bottom"/>
            <w:gridSpan w:val="10"/>
            <w:shd w:val="clear" w:color="auto" w:fill="CCEEFF"/>
          </w:tcPr>
          <w:p>
            <w:pPr>
              <w:ind w:lef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40" w:type="dxa"/>
            <w:vAlign w:val="bottom"/>
            <w:gridSpan w:val="1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Securities Act, and Section 21E of the Securities Exchange Act of 1934, or Exchange Act. Forward-looking statements are predictive in nature and can be identified by the fact that they do not relate strictly to historical or current facts and generally include words such as “expects,” “anticipates,” “intends,” “plans,” “believes,” “estimates” and similar expressions. Certain matters discussed herein concerning, among other items, our operations, cash flows, financial position and economic performance including, in particular, future sales, product demand, competition and the effect of economic conditions, include forward-looking statements.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statements and other projections contained herein expressing opinions about future outcomes and non-historical information, are subject to uncertainties and, therefore, there is no assurance that the outcomes expressed in these statements will be achieved. 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Factors that could cause actual results to differ materially from those reflected in the forward-looking statements include, but are not limited to, those discussed under the heading “Risk Factors” in our Annual Report on Form 10-K for the year ended December 31, 2020, as amended, and elsewhere in this report and the risks discussed in our other filings with the SEC.</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statement, whether as a result of new information, future events or otherwise, except as may be required under the securities laws of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240" w:type="dxa"/>
            <w:vAlign w:val="bottom"/>
            <w:gridSpan w:val="5"/>
          </w:tcPr>
          <w:p>
            <w:pPr>
              <w:jc w:val="center"/>
              <w:ind w:right="2980"/>
              <w:spacing w:after="0"/>
              <w:rPr>
                <w:sz w:val="20"/>
                <w:szCs w:val="20"/>
                <w:color w:val="auto"/>
              </w:rPr>
            </w:pPr>
            <w:r>
              <w:rPr>
                <w:rFonts w:ascii="Arial" w:cs="Arial" w:eastAsia="Arial" w:hAnsi="Arial"/>
                <w:sz w:val="18"/>
                <w:szCs w:val="18"/>
                <w:b w:val="1"/>
                <w:bCs w:val="1"/>
                <w:color w:val="auto"/>
                <w:w w:val="98"/>
              </w:rPr>
              <w:t>PART I</w:t>
            </w:r>
          </w:p>
        </w:tc>
        <w:tc>
          <w:tcPr>
            <w:tcW w:w="1000" w:type="dxa"/>
            <w:vAlign w:val="bottom"/>
          </w:tcPr>
          <w:p>
            <w:pPr>
              <w:spacing w:after="0"/>
              <w:rPr>
                <w:sz w:val="20"/>
                <w:szCs w:val="20"/>
                <w:color w:val="auto"/>
              </w:rPr>
            </w:pPr>
          </w:p>
        </w:tc>
      </w:tr>
      <w:tr>
        <w:trPr>
          <w:trHeight w:val="432"/>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40" w:type="dxa"/>
            <w:vAlign w:val="bottom"/>
            <w:gridSpan w:val="5"/>
          </w:tcPr>
          <w:p>
            <w:pPr>
              <w:jc w:val="center"/>
              <w:ind w:right="3000"/>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r>
      <w:tr>
        <w:trPr>
          <w:trHeight w:val="439"/>
        </w:trPr>
        <w:tc>
          <w:tcPr>
            <w:tcW w:w="20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1000" w:type="dxa"/>
            <w:vAlign w:val="bottom"/>
            <w:shd w:val="clear" w:color="auto" w:fill="CCEEFF"/>
          </w:tcPr>
          <w:p>
            <w:pPr>
              <w:spacing w:after="0"/>
              <w:rPr>
                <w:sz w:val="17"/>
                <w:szCs w:val="17"/>
                <w:color w:val="auto"/>
              </w:rPr>
            </w:pP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Operations for the three and nine months ended September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and nine months ended September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204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655"/>
        </w:trPr>
        <w:tc>
          <w:tcPr>
            <w:tcW w:w="4000" w:type="dxa"/>
            <w:vAlign w:val="bottom"/>
            <w:tcBorders>
              <w:top w:val="single" w:sz="8" w:color="0000EE"/>
              <w:bottom w:val="single" w:sz="8" w:color="auto"/>
            </w:tcBorders>
            <w:gridSpan w:val="2"/>
          </w:tcPr>
          <w:p>
            <w:pPr>
              <w:spacing w:after="0"/>
              <w:rPr>
                <w:sz w:val="24"/>
                <w:szCs w:val="24"/>
                <w:color w:val="auto"/>
              </w:rPr>
            </w:pPr>
          </w:p>
        </w:tc>
        <w:tc>
          <w:tcPr>
            <w:tcW w:w="3460" w:type="dxa"/>
            <w:vAlign w:val="bottom"/>
            <w:tcBorders>
              <w:top w:val="single" w:sz="8" w:color="CCEEFF"/>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1</w:t>
            </w:r>
          </w:p>
        </w:tc>
        <w:tc>
          <w:tcPr>
            <w:tcW w:w="12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w:t>
            </w: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8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7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692,000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$620,000 and $964,000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10,546,000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8,798,000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29,359,000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32,120,000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173,000</w:t>
            </w:r>
          </w:p>
        </w:tc>
        <w:tc>
          <w:tcPr>
            <w:tcW w:w="0" w:type="dxa"/>
            <w:vAlign w:val="bottom"/>
          </w:tcPr>
          <w:p>
            <w:pPr>
              <w:spacing w:after="0"/>
              <w:rPr>
                <w:sz w:val="1"/>
                <w:szCs w:val="1"/>
                <w:color w:val="auto"/>
              </w:rPr>
            </w:pPr>
          </w:p>
        </w:tc>
      </w:tr>
      <w:tr>
        <w:trPr>
          <w:trHeight w:val="25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40,944,000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43,611,000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9,581,000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Right-Of-Use-Asset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Financing Costs, Net, Deposits and Other Assets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912,000</w:t>
            </w:r>
          </w:p>
        </w:tc>
        <w:tc>
          <w:tcPr>
            <w:tcW w:w="0" w:type="dxa"/>
            <w:vAlign w:val="bottom"/>
          </w:tcPr>
          <w:p>
            <w:pPr>
              <w:spacing w:after="0"/>
              <w:rPr>
                <w:sz w:val="1"/>
                <w:szCs w:val="1"/>
                <w:color w:val="auto"/>
              </w:rPr>
            </w:pPr>
          </w:p>
        </w:tc>
      </w:tr>
      <w:tr>
        <w:trPr>
          <w:trHeight w:val="237"/>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87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53,521,000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57,777,000</w:t>
            </w:r>
          </w:p>
        </w:tc>
        <w:tc>
          <w:tcPr>
            <w:tcW w:w="0" w:type="dxa"/>
            <w:vAlign w:val="bottom"/>
          </w:tcPr>
          <w:p>
            <w:pPr>
              <w:spacing w:after="0"/>
              <w:rPr>
                <w:sz w:val="1"/>
                <w:szCs w:val="1"/>
                <w:color w:val="auto"/>
              </w:rPr>
            </w:pPr>
          </w:p>
        </w:tc>
      </w:tr>
      <w:tr>
        <w:trPr>
          <w:trHeight w:val="21"/>
        </w:trPr>
        <w:tc>
          <w:tcPr>
            <w:tcW w:w="8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Finance Lease Obligations - Current Portion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14,285,000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16,475,000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8,682,000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Current Portion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Deferred Gain on Sale - Current Portion</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Liability Related to the Sale of Future Proceeds from</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Disposition of Subsidiary - Current Portion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r>
              <w:rPr>
                <w:rFonts w:ascii="Arial" w:cs="Arial" w:eastAsia="Arial" w:hAnsi="Arial"/>
                <w:sz w:val="18"/>
                <w:szCs w:val="18"/>
                <w:color w:val="auto"/>
              </w:rPr>
              <w:t>Deferred payroll tax liability - CARES Act - Current Portion</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23,942,000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27,327,000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Notes Payable and Finance Lease Obligations - Net of Current Portion</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4,786,000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Related Party - Net of Current Portion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Operating Lease Liabilities - Net of Current Portion</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3,927,000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 - Net of Current Portion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Liability Related to the Sale of Future Proceeds from</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Disposition of Subsidiary - Net of Current Portion</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36"/>
        </w:trPr>
        <w:tc>
          <w:tcPr>
            <w:tcW w:w="8780" w:type="dxa"/>
            <w:vAlign w:val="bottom"/>
          </w:tcPr>
          <w:p>
            <w:pPr>
              <w:spacing w:after="0"/>
              <w:rPr>
                <w:sz w:val="20"/>
                <w:szCs w:val="20"/>
                <w:color w:val="auto"/>
              </w:rPr>
            </w:pPr>
            <w:r>
              <w:rPr>
                <w:rFonts w:ascii="Arial" w:cs="Arial" w:eastAsia="Arial" w:hAnsi="Arial"/>
                <w:sz w:val="18"/>
                <w:szCs w:val="18"/>
                <w:color w:val="auto"/>
              </w:rPr>
              <w:t>Deferred payroll tax liability - CARES Act - Net of Current Portion</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313,000</w:t>
            </w:r>
          </w:p>
        </w:tc>
        <w:tc>
          <w:tcPr>
            <w:tcW w:w="0" w:type="dxa"/>
            <w:vAlign w:val="bottom"/>
          </w:tcPr>
          <w:p>
            <w:pPr>
              <w:spacing w:after="0"/>
              <w:rPr>
                <w:sz w:val="1"/>
                <w:szCs w:val="1"/>
                <w:color w:val="auto"/>
              </w:rPr>
            </w:pPr>
          </w:p>
        </w:tc>
      </w:tr>
      <w:tr>
        <w:trPr>
          <w:trHeight w:val="223"/>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37,874,000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42,668,000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Preferred Stock, par value $.001 - Authorized 3,000,000 shares, 0 shares outstanding, at both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340" w:hanging="161"/>
        <w:spacing w:after="0" w:line="250" w:lineRule="auto"/>
        <w:rPr>
          <w:sz w:val="20"/>
          <w:szCs w:val="20"/>
          <w:color w:val="auto"/>
        </w:rPr>
      </w:pPr>
      <w:r>
        <w:rPr>
          <w:rFonts w:ascii="Arial" w:cs="Arial" w:eastAsia="Arial" w:hAnsi="Arial"/>
          <w:sz w:val="18"/>
          <w:szCs w:val="18"/>
          <w:color w:val="auto"/>
        </w:rPr>
        <w:t>Common Stock - Par Value $.001 - Authorized 60,000,000 Shares, 32,077,530 and 31,906,971 Shares Issued and Outstanding as of September 30, 2021 and December 31, 2020,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40"/>
        <w:spacing w:after="0"/>
        <w:tabs>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00"/>
        <w:spacing w:after="0"/>
        <w:tabs>
          <w:tab w:leader="none" w:pos="1840" w:val="left"/>
        </w:tabs>
        <w:rPr>
          <w:sz w:val="20"/>
          <w:szCs w:val="20"/>
          <w:color w:val="auto"/>
        </w:rPr>
      </w:pPr>
      <w:r>
        <w:rPr>
          <w:rFonts w:ascii="Arial" w:cs="Arial" w:eastAsia="Arial" w:hAnsi="Arial"/>
          <w:sz w:val="18"/>
          <w:szCs w:val="18"/>
          <w:color w:val="auto"/>
        </w:rPr>
        <w:t>32,000</w:t>
      </w:r>
      <w:r>
        <w:rPr>
          <w:sz w:val="20"/>
          <w:szCs w:val="20"/>
          <w:color w:val="auto"/>
        </w:rPr>
        <w:tab/>
      </w:r>
      <w:r>
        <w:rPr>
          <w:rFonts w:ascii="Arial" w:cs="Arial" w:eastAsia="Arial" w:hAnsi="Arial"/>
          <w:sz w:val="18"/>
          <w:szCs w:val="18"/>
          <w:color w:val="auto"/>
        </w:rPr>
        <w:t>32,000</w:t>
      </w:r>
    </w:p>
    <w:p>
      <w:pPr>
        <w:spacing w:after="0" w:line="23"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7"/>
          <w:szCs w:val="17"/>
          <w:color w:val="auto"/>
        </w:rPr>
        <w:t>81,755,000</w:t>
      </w:r>
      <w:r>
        <w:rPr>
          <w:sz w:val="20"/>
          <w:szCs w:val="20"/>
          <w:color w:val="auto"/>
        </w:rPr>
        <w:tab/>
      </w:r>
      <w:r>
        <w:rPr>
          <w:rFonts w:ascii="Arial" w:cs="Arial" w:eastAsia="Arial" w:hAnsi="Arial"/>
          <w:sz w:val="17"/>
          <w:szCs w:val="17"/>
          <w:color w:val="auto"/>
        </w:rPr>
        <w:t>81,238,000</w:t>
      </w:r>
    </w:p>
    <w:p>
      <w:pPr>
        <w:spacing w:after="0" w:line="21"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18"/>
          <w:szCs w:val="18"/>
          <w:color w:val="auto"/>
        </w:rPr>
        <w:t>(66,140,000)</w:t>
      </w:r>
      <w:r>
        <w:rPr>
          <w:sz w:val="20"/>
          <w:szCs w:val="20"/>
          <w:color w:val="auto"/>
        </w:rPr>
        <w:tab/>
      </w:r>
      <w:r>
        <w:rPr>
          <w:rFonts w:ascii="Arial" w:cs="Arial" w:eastAsia="Arial" w:hAnsi="Arial"/>
          <w:sz w:val="16"/>
          <w:szCs w:val="16"/>
          <w:color w:val="auto"/>
        </w:rPr>
        <w:t>(66,161,000)</w:t>
      </w:r>
    </w:p>
    <w:p>
      <w:pPr>
        <w:spacing w:after="0" w:line="35"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7"/>
          <w:szCs w:val="17"/>
          <w:color w:val="auto"/>
        </w:rPr>
        <w:t>15,647,000</w:t>
      </w:r>
      <w:r>
        <w:rPr>
          <w:sz w:val="20"/>
          <w:szCs w:val="20"/>
          <w:color w:val="auto"/>
        </w:rPr>
        <w:tab/>
      </w:r>
      <w:r>
        <w:rPr>
          <w:rFonts w:ascii="Arial" w:cs="Arial" w:eastAsia="Arial" w:hAnsi="Arial"/>
          <w:sz w:val="17"/>
          <w:szCs w:val="17"/>
          <w:color w:val="auto"/>
        </w:rPr>
        <w:t>15,109,000</w:t>
      </w:r>
    </w:p>
    <w:p>
      <w:pPr>
        <w:spacing w:after="0" w:line="304" w:lineRule="exact"/>
        <w:rPr>
          <w:sz w:val="20"/>
          <w:szCs w:val="20"/>
          <w:color w:val="auto"/>
        </w:rPr>
      </w:pPr>
    </w:p>
    <w:p>
      <w:pPr>
        <w:spacing w:after="0"/>
        <w:tabs>
          <w:tab w:leader="none" w:pos="260" w:val="left"/>
          <w:tab w:leader="none" w:pos="1300" w:val="left"/>
          <w:tab w:leader="none" w:pos="1520" w:val="left"/>
        </w:tabs>
        <w:rPr>
          <w:sz w:val="20"/>
          <w:szCs w:val="20"/>
          <w:color w:val="auto"/>
        </w:rPr>
      </w:pPr>
      <w:r>
        <w:rPr>
          <w:rFonts w:ascii="Arial" w:cs="Arial" w:eastAsia="Arial" w:hAnsi="Arial"/>
          <w:sz w:val="18"/>
          <w:szCs w:val="18"/>
          <w:u w:val="single" w:color="auto"/>
          <w:color w:val="auto"/>
        </w:rPr>
        <w:t>$</w:t>
        <w:tab/>
        <w:t>53,521,000</w:t>
        <w:tab/>
        <w:t>$</w:t>
      </w:r>
      <w:r>
        <w:rPr>
          <w:sz w:val="20"/>
          <w:szCs w:val="20"/>
          <w:color w:val="auto"/>
        </w:rPr>
        <w:tab/>
      </w:r>
      <w:r>
        <w:rPr>
          <w:rFonts w:ascii="Arial" w:cs="Arial" w:eastAsia="Arial" w:hAnsi="Arial"/>
          <w:sz w:val="16"/>
          <w:szCs w:val="16"/>
          <w:u w:val="single" w:color="auto"/>
          <w:color w:val="auto"/>
        </w:rPr>
        <w:t>57,777,000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14916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280"/>
            <w:col w:w="2460"/>
          </w:cols>
          <w:pgMar w:left="320" w:top="877"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14,354,000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13,662,000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43,519,000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35,603,000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12,340,000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12,006,000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37,105,000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31,152,000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2,014,000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6,414,000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1,837,000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5,770,000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Costs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Related Parties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88,000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Benefit From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(2,417,000)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(66,000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(477,000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(1,003,000</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32,074,053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30,620,990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32,022,873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30,524,874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32,074,053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30,620,990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38,743,765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30,524,874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31,906,971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81,238,000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(66,161,000)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15,109,000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41,960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51,224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(152,000)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March 31, 2021</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32,000,155</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32,000</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81,447,000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(66,313,000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15,166,000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37,392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239,000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32,037,547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81,556,000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(66,074,000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15,514,000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147,000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(66,000)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32,077,530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32,000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81,755,000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(66,140,000</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15,647,000</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29,478,338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29,000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77,434,000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(67,257,000)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10,206,000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Costs related to issuance of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419,597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Convertible Notes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590,243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885,000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1,058,000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1,058,000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30,531,949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(66,199,000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13,183,000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74,000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(1,584,000)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(1,584,000)</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Balance, June 30,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30,579,075</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79,472,000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(67,783,000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11,719,000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issued for directors fees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(477,000)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(477,000)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September 30,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30,620,990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79,582,000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(68,260,000</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11,352,000</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432"/>
        </w:trPr>
        <w:tc>
          <w:tcPr>
            <w:tcW w:w="75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(1,003,000)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2,105,000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1,920,000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Non-cash employee compensation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361,000</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266,000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directors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156,000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Non-cash other income recognized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(274,000)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(302,000)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90,000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Non-cash deferred payroll tax expense - CARES Act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429,000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364,000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366,000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Deferred gain on sale of real estate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(29,000)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equipment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Amortization of debt discount on convertible notes payable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196,000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 (recovery)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367,000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118,000</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73,000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(1,692,000)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2,761,000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(4,194,000)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(159,000)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Prepaid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other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Increase (Decrease) in Operating Liabilities: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(1,261,000)</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1,594,000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(541,000)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(506,000)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r>
      <w:tr>
        <w:trPr>
          <w:trHeight w:val="237"/>
        </w:trPr>
        <w:tc>
          <w:tcPr>
            <w:tcW w:w="75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571,000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(176,000)</w:t>
            </w:r>
          </w:p>
        </w:tc>
      </w:tr>
      <w:tr>
        <w:trPr>
          <w:trHeight w:val="223"/>
        </w:trPr>
        <w:tc>
          <w:tcPr>
            <w:tcW w:w="7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2,514,000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5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(983,000)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(1,471,000)</w:t>
            </w:r>
          </w:p>
        </w:tc>
      </w:tr>
      <w:tr>
        <w:trPr>
          <w:trHeight w:val="223"/>
        </w:trPr>
        <w:tc>
          <w:tcPr>
            <w:tcW w:w="7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Note payable - revolver - net - Sterling National Bank</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(2,187,000)</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3,340,000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 payable - term note - Sterling National Bank</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(1,147,000)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SBA Loan Proceeds - Sterling National Bank</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2,414,000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finance lease obligations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984,000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Payments of notes payable issuances- related party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(1,032,000)</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notes payable - third party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6"/>
        </w:trPr>
        <w:tc>
          <w:tcPr>
            <w:tcW w:w="7500" w:type="dxa"/>
            <w:vAlign w:val="bottom"/>
          </w:tcPr>
          <w:p>
            <w:pPr>
              <w:ind w:left="180"/>
              <w:spacing w:after="0"/>
              <w:rPr>
                <w:sz w:val="20"/>
                <w:szCs w:val="20"/>
                <w:color w:val="auto"/>
              </w:rPr>
            </w:pPr>
            <w:r>
              <w:rPr>
                <w:rFonts w:ascii="Arial" w:cs="Arial" w:eastAsia="Arial" w:hAnsi="Arial"/>
                <w:sz w:val="18"/>
                <w:szCs w:val="18"/>
                <w:color w:val="auto"/>
              </w:rPr>
              <w:t>Payments of loan payable - financed asset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(7,000)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(215,000)</w:t>
            </w:r>
          </w:p>
        </w:tc>
      </w:tr>
      <w:tr>
        <w:trPr>
          <w:trHeight w:val="223"/>
        </w:trPr>
        <w:tc>
          <w:tcPr>
            <w:tcW w:w="7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(3,344,000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ind w:left="180" w:right="2880"/>
        <w:spacing w:after="0" w:line="281" w:lineRule="auto"/>
        <w:rPr>
          <w:sz w:val="20"/>
          <w:szCs w:val="20"/>
          <w:color w:val="auto"/>
        </w:rPr>
      </w:pPr>
      <w:r>
        <w:rPr>
          <w:rFonts w:ascii="Arial" w:cs="Arial" w:eastAsia="Arial" w:hAnsi="Arial"/>
          <w:sz w:val="17"/>
          <w:szCs w:val="17"/>
          <w:color w:val="auto"/>
        </w:rPr>
        <w:t>NET (DECREASE) INCREASE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tabs>
          <w:tab w:leader="none" w:pos="1399" w:val="left"/>
        </w:tabs>
        <w:rPr>
          <w:sz w:val="20"/>
          <w:szCs w:val="20"/>
          <w:color w:val="auto"/>
        </w:rPr>
      </w:pPr>
      <w:r>
        <w:rPr>
          <w:rFonts w:ascii="Arial" w:cs="Arial" w:eastAsia="Arial" w:hAnsi="Arial"/>
          <w:sz w:val="16"/>
          <w:szCs w:val="16"/>
          <w:color w:val="auto"/>
        </w:rPr>
        <w:t>(1,813,000)</w:t>
      </w:r>
      <w:r>
        <w:rPr>
          <w:sz w:val="20"/>
          <w:szCs w:val="20"/>
          <w:color w:val="auto"/>
        </w:rPr>
        <w:tab/>
      </w:r>
      <w:r>
        <w:rPr>
          <w:rFonts w:ascii="Arial" w:cs="Arial" w:eastAsia="Arial" w:hAnsi="Arial"/>
          <w:sz w:val="16"/>
          <w:szCs w:val="16"/>
          <w:color w:val="auto"/>
        </w:rPr>
        <w:t>166,000</w:t>
      </w:r>
    </w:p>
    <w:p>
      <w:pPr>
        <w:spacing w:after="0" w:line="46" w:lineRule="exact"/>
        <w:rPr>
          <w:sz w:val="20"/>
          <w:szCs w:val="20"/>
          <w:color w:val="auto"/>
        </w:rPr>
      </w:pPr>
    </w:p>
    <w:p>
      <w:pPr>
        <w:ind w:left="180"/>
        <w:spacing w:after="0"/>
        <w:tabs>
          <w:tab w:leader="none" w:pos="1279" w:val="left"/>
        </w:tabs>
        <w:rPr>
          <w:sz w:val="20"/>
          <w:szCs w:val="20"/>
          <w:color w:val="auto"/>
        </w:rPr>
      </w:pPr>
      <w:r>
        <w:rPr>
          <w:rFonts w:ascii="Arial" w:cs="Arial" w:eastAsia="Arial" w:hAnsi="Arial"/>
          <w:sz w:val="16"/>
          <w:szCs w:val="16"/>
          <w:color w:val="auto"/>
        </w:rPr>
        <w:t>2,505,000</w:t>
      </w:r>
      <w:r>
        <w:rPr>
          <w:sz w:val="20"/>
          <w:szCs w:val="20"/>
          <w:color w:val="auto"/>
        </w:rPr>
        <w:tab/>
      </w:r>
      <w:r>
        <w:rPr>
          <w:rFonts w:ascii="Arial" w:cs="Arial" w:eastAsia="Arial" w:hAnsi="Arial"/>
          <w:sz w:val="16"/>
          <w:szCs w:val="16"/>
          <w:color w:val="auto"/>
        </w:rPr>
        <w:t>1,294,000</w:t>
      </w:r>
    </w:p>
    <w:p>
      <w:pPr>
        <w:spacing w:after="0" w:line="85" w:lineRule="exact"/>
        <w:rPr>
          <w:sz w:val="20"/>
          <w:szCs w:val="20"/>
          <w:color w:val="auto"/>
        </w:rPr>
      </w:pPr>
    </w:p>
    <w:p>
      <w:pPr>
        <w:ind w:left="320" w:hanging="320"/>
        <w:spacing w:after="0"/>
        <w:tabs>
          <w:tab w:leader="none" w:pos="320" w:val="left"/>
        </w:tabs>
        <w:numPr>
          <w:ilvl w:val="0"/>
          <w:numId w:val="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692,000   $ 1,460,000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127698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120"/>
          </w:cols>
          <w:pgMar w:left="320" w:top="877" w:right="339" w:bottom="1440" w:gutter="0" w:footer="0" w:header="0"/>
          <w:type w:val="continuous"/>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For the Nine Months Ended September 30,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918,000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received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non-cash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Right of Use Asset additions under ASC 842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642,000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Operating Lease Liabilities under ASC 842</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Common Stock issued for conversion of notes payable and accrued interest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AIR INDUSTRIES GROUP</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FORMATION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Air Industries Group is a Nevada corporation (“AIRI”). As of and for the three and nine months ended September 30, 2021 and 2020, the accompanying condensed consolidated financial statements presented are those of AIRI, and its wholly-owned subsidiaries; Air Industries Machining Corp. (“AIM”), Nassau Tool Works, Inc. (“NTW”), and the Sterling Engineering Corporation (“Sterling”), (together,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for interim financial information and with Rule 8-03 of Regulation S-X. These principles require us to make estimates and assumptions that affect the reported amounts of assets and liabilities, and disclosure of contingent assets and liabilities at the date of the condensed unaudited consolidated financial statements, and the reported amount of net sales and expenses during the reported period. Actual results could differ from those estimates. Changes in facts and circumstances may result in revised estimates, which would be recorded in the period in which they become known.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nine months ended September 30, 2021 are not necessarily indicative of the results that may be expected for the year ending December 31, 2021. These unaudited condensed consolidated financial statements should be read in conjunction with the audited consolidated financial statements and notes thereto included in the Company’s Annual Report on Form 10-K for the year ended December 31, 2020, as filed with the Securities and Exchange Commission, from which the accompanying condensed consolidated balance sheet dated December 31, 2020 was derived.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 occurred to certain 2020 amounts to conform to the 2021 classification. These reclassifications had no impact on the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reporting period, management evaluates whether there are conditions or events that raise substantial doubt about the Company’s ability to continue as a going concern within one year after the date that the financial statements are issued. The Company is required to make certain additional disclosures if management concludes that substantial doubt exists about the Company’s ability to continue as a going concern and such doubt is not alleviated by the Company’s plans or when the Company’s plans alleviate substantial doubt about its ability to continue as a going concern. The evaluation entails analyzing prospective operating budgets and forecasts for expectations regarding cash needs and comparing those needs to the current cash and cash equivalent balance and expectations regarding cash to be generated over the following year.</w:t>
      </w:r>
    </w:p>
    <w:p>
      <w:pPr>
        <w:spacing w:after="0" w:line="17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Although the global outbreak of COVID-19 negatively impacted the Company’s revenues, earnings and operating cash flows in 2020, management believes the Company’s operations substantially returned to normal in fiscal 2021. With nine months of fiscal 2021 now completed and the Company beginning to see the benefits from its recent investments in machinery and equipment, management believes the Company will continue to improve its liquidity. As such, based on the Company generating operating income of $177,000 and $644,000 for the three and nine months ended September 30, 2021, respectively, its current best estimates of fourth quarter fiscal 2021 and the first quarter of fiscal 2022 sales, confirmed and expected orders, the strength of existing backlog, overall market demand, expected timing of future cash receipts and expenditures and the Company’s ability to access additional liquidity, if needed, the Company believes it will have adequate cash to support operations through at least November 30, 2022.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evaluated subsequent events through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annual periods, the Company values inventory at the lower of cost on a first-in-first-out basis or estimated net realizable value. The Company does not take physical inventories at interim quarterly reporting periods. For interim periods, substantially all of the inventory value has been estimated using a gross profit percentage based on annual gross profit percentages of the immediately preceding year as applied to the net sales of the current period. During the three and nine months ended September 30, 2021, the Company increased its estimate of its gross profit percentage from the percentage for the prior year based on the better absorption of Manufacturing Overhead which results from increased sales. Adjustments to reconcile the annual physical inventory to the Company’s records are recorded in the fourth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Concentration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two customers that represented 67.7% and three customers that represented 70.6% of total net sales for the three months ended September 30, 2021 and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198"/>
        </w:trPr>
        <w:tc>
          <w:tcPr>
            <w:tcW w:w="8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7"/>
                <w:szCs w:val="17"/>
                <w:color w:val="auto"/>
              </w:rPr>
            </w:pPr>
          </w:p>
        </w:tc>
      </w:t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was less than 10% of sales for the three months ended September 30,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three customers that represented 75.5% and 74.2% of total sales for the nine months ended September 30, 2021 and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r>
              <w:rPr>
                <w:rFonts w:ascii="Arial" w:cs="Arial" w:eastAsia="Arial" w:hAnsi="Arial"/>
                <w:sz w:val="18"/>
                <w:szCs w:val="18"/>
                <w:b w:val="1"/>
                <w:bCs w:val="1"/>
                <w:color w:val="auto"/>
              </w:rPr>
              <w:t>Customer</w:t>
            </w: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198"/>
        </w:trPr>
        <w:tc>
          <w:tcPr>
            <w:tcW w:w="3180" w:type="dxa"/>
            <w:vAlign w:val="bottom"/>
            <w:tcBorders>
              <w:top w:val="single" w:sz="8" w:color="auto"/>
            </w:tcBorders>
          </w:tcPr>
          <w:p>
            <w:pPr>
              <w:spacing w:after="0"/>
              <w:rPr>
                <w:sz w:val="17"/>
                <w:szCs w:val="17"/>
                <w:color w:val="auto"/>
              </w:rPr>
            </w:pPr>
          </w:p>
        </w:tc>
        <w:tc>
          <w:tcPr>
            <w:tcW w:w="5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7"/>
                <w:szCs w:val="17"/>
                <w:color w:val="auto"/>
              </w:rPr>
            </w:pPr>
          </w:p>
        </w:tc>
      </w:tr>
      <w:tr>
        <w:trPr>
          <w:trHeight w:val="241"/>
        </w:trPr>
        <w:tc>
          <w:tcPr>
            <w:tcW w:w="3180" w:type="dxa"/>
            <w:vAlign w:val="bottom"/>
          </w:tcPr>
          <w:p>
            <w:pPr>
              <w:spacing w:after="0"/>
              <w:rPr>
                <w:sz w:val="20"/>
                <w:szCs w:val="20"/>
                <w:color w:val="auto"/>
              </w:rPr>
            </w:pPr>
          </w:p>
        </w:tc>
        <w:tc>
          <w:tcPr>
            <w:tcW w:w="6520" w:type="dxa"/>
            <w:vAlign w:val="bottom"/>
            <w:gridSpan w:val="3"/>
          </w:tcPr>
          <w:p>
            <w:pPr>
              <w:jc w:val="center"/>
              <w:ind w:left="53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r>
      <w:tr>
        <w:trPr>
          <w:trHeight w:val="216"/>
        </w:trPr>
        <w:tc>
          <w:tcPr>
            <w:tcW w:w="31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w:t>
            </w:r>
          </w:p>
        </w:tc>
        <w:tc>
          <w:tcPr>
            <w:tcW w:w="6800" w:type="dxa"/>
            <w:vAlign w:val="bottom"/>
            <w:gridSpan w:val="4"/>
          </w:tcPr>
          <w:p>
            <w:pPr>
              <w:jc w:val="right"/>
              <w:ind w:right="120"/>
              <w:spacing w:after="0"/>
              <w:rPr>
                <w:sz w:val="20"/>
                <w:szCs w:val="20"/>
                <w:color w:val="auto"/>
              </w:rPr>
            </w:pPr>
            <w:r>
              <w:rPr>
                <w:rFonts w:ascii="Arial" w:cs="Arial" w:eastAsia="Arial" w:hAnsi="Arial"/>
                <w:sz w:val="18"/>
                <w:szCs w:val="18"/>
                <w:color w:val="auto"/>
              </w:rPr>
              <w:t>26.2%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r>
        <w:trPr>
          <w:trHeight w:val="655"/>
        </w:trPr>
        <w:tc>
          <w:tcPr>
            <w:tcW w:w="31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There were two customers that represented 68.9% and three customers that represented 80.3% of gross accounts receivable at September 30, 2021 and December 31, 2020, respectively. This is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6"/>
              </w:rPr>
              <w:t>Percentage of Receivables</w:t>
            </w:r>
          </w:p>
        </w:tc>
      </w:tr>
      <w:tr>
        <w:trPr>
          <w:trHeight w:val="198"/>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187" w:lineRule="exact"/>
        <w:rPr>
          <w:sz w:val="20"/>
          <w:szCs w:val="20"/>
          <w:color w:val="auto"/>
        </w:rPr>
      </w:pPr>
    </w:p>
    <w:p>
      <w:pPr>
        <w:jc w:val="both"/>
        <w:ind w:right="5480" w:firstLine="8"/>
        <w:spacing w:after="0" w:line="500"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Customer was less than 10% of accounts receivable at December 31, 2020. ** Customer was less than 10% of accounts receivable at September 30, 2021. </w:t>
      </w:r>
      <w:r>
        <w:rPr>
          <w:rFonts w:ascii="Arial" w:cs="Arial" w:eastAsia="Arial" w:hAnsi="Arial"/>
          <w:sz w:val="18"/>
          <w:szCs w:val="18"/>
          <w:u w:val="single" w:color="auto"/>
          <w:color w:val="auto"/>
        </w:rPr>
        <w:t>Cash and Cash Equivalents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the Company had occasionally maintained balances in its bank accounts that were in excess of the FDIC insurance limit. The Company has not experienced any losses on these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Suppliers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several key sole-source suppliers of various parts that are important for one or more of its products. These suppliers are its only source for such parts and, therefore, in the event any of them were to go out of business or be unable or unwilling to provide parts for any reason, its business could be severely harmed.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global supply chain constraints that have been impacting the aerospace and defense industry have not materially impacted our ability to source parts or operate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leases under ASC 842, “Leases.”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 use asset is recorded in operating expenses and an implied interest component is recorded in interest expense. See Note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(loss) per share (“EPS”) is computed by dividing the net income (loss) applicable to common stockholders by the weighted-average number of shares of common stock outstanding for the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calculating diluted earnings per common share, the numerator includes net income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the calculation of net (loss) income applicable to common stockholders utilized to calculate the EPS: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4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gridSpan w:val="2"/>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3"/>
              </w:rPr>
              <w:t>(Unaudited)</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statement of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(1,003,000)</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Add: Convertible Note Interest for Potential Note Conversion</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(Loss) Income used to calculate diluted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6"/>
                <w:szCs w:val="16"/>
                <w:color w:val="auto"/>
              </w:rPr>
              <w:t>(66,000</w:t>
            </w:r>
            <w:r>
              <w:rPr>
                <w:rFonts w:ascii="Arial" w:cs="Arial" w:eastAsia="Arial" w:hAnsi="Arial"/>
                <w:sz w:val="29"/>
                <w:szCs w:val="29"/>
                <w:color w:val="auto"/>
                <w:vertAlign w:val="superscript"/>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(477,000</w:t>
            </w:r>
            <w:r>
              <w:rPr>
                <w:rFonts w:ascii="Arial" w:cs="Arial" w:eastAsia="Arial" w:hAnsi="Arial"/>
                <w:sz w:val="29"/>
                <w:szCs w:val="29"/>
                <w:color w:val="auto"/>
                <w:vertAlign w:val="superscript"/>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(1,003,000</w:t>
            </w:r>
            <w:r>
              <w:rPr>
                <w:rFonts w:ascii="Arial" w:cs="Arial" w:eastAsia="Arial" w:hAnsi="Arial"/>
                <w:sz w:val="29"/>
                <w:szCs w:val="29"/>
                <w:color w:val="auto"/>
                <w:vertAlign w:val="superscript"/>
              </w:rPr>
              <w:t>)</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denominators of basic and diluted earnings per share computations: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shares outstanding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stock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of dilutive convertible notes payable</w:t>
      </w:r>
    </w:p>
    <w:p>
      <w:pPr>
        <w:spacing w:after="0" w:line="22" w:lineRule="exact"/>
        <w:rPr>
          <w:sz w:val="20"/>
          <w:szCs w:val="20"/>
          <w:color w:val="auto"/>
        </w:rPr>
      </w:pPr>
    </w:p>
    <w:p>
      <w:pPr>
        <w:ind w:left="180" w:right="140" w:hanging="161"/>
        <w:spacing w:after="0" w:line="277" w:lineRule="auto"/>
        <w:rPr>
          <w:sz w:val="20"/>
          <w:szCs w:val="20"/>
          <w:color w:val="auto"/>
        </w:rPr>
      </w:pPr>
      <w:r>
        <w:rPr>
          <w:rFonts w:ascii="Arial" w:cs="Arial" w:eastAsia="Arial" w:hAnsi="Arial"/>
          <w:sz w:val="18"/>
          <w:szCs w:val="18"/>
          <w:color w:val="auto"/>
        </w:rPr>
        <w:t>Weighted average shares outstanding and dilutive securities used to compute dilutive earnings per share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6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440" w:type="dxa"/>
            <w:vAlign w:val="bottom"/>
            <w:gridSpan w:val="5"/>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22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20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7"/>
                <w:szCs w:val="17"/>
                <w:color w:val="auto"/>
              </w:rPr>
            </w:pPr>
          </w:p>
        </w:tc>
      </w:tr>
      <w:tr>
        <w:trPr>
          <w:trHeight w:val="241"/>
        </w:trPr>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r>
      <w:tr>
        <w:trPr>
          <w:trHeight w:val="230"/>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r>
      <w:tr>
        <w:trPr>
          <w:trHeight w:val="403"/>
        </w:trPr>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32,074,053</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30,620,990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32,022,873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30,524,874</w:t>
            </w:r>
          </w:p>
        </w:tc>
        <w:tc>
          <w:tcPr>
            <w:tcW w:w="20" w:type="dxa"/>
            <w:vAlign w:val="bottom"/>
          </w:tcPr>
          <w:p>
            <w:pPr>
              <w:spacing w:after="0"/>
              <w:rPr>
                <w:sz w:val="24"/>
                <w:szCs w:val="24"/>
                <w:color w:val="auto"/>
              </w:rPr>
            </w:pPr>
          </w:p>
        </w:tc>
      </w:tr>
      <w:tr>
        <w:trPr>
          <w:trHeight w:val="229"/>
        </w:trPr>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2,663,000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4,057,892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466"/>
        </w:trPr>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32,074,053</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30,620,990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38,743,765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30,524,874</w:t>
            </w:r>
          </w:p>
        </w:tc>
        <w:tc>
          <w:tcPr>
            <w:tcW w:w="20" w:type="dxa"/>
            <w:vAlign w:val="bottom"/>
          </w:tcPr>
          <w:p>
            <w:pPr>
              <w:spacing w:after="0"/>
              <w:rPr>
                <w:sz w:val="24"/>
                <w:szCs w:val="24"/>
                <w:color w:val="auto"/>
              </w:rPr>
            </w:pPr>
          </w:p>
        </w:tc>
      </w:tr>
      <w:tr>
        <w:trPr>
          <w:trHeight w:val="21"/>
        </w:trPr>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440"/>
            <w:col w:w="5140"/>
          </w:cols>
          <w:pgMar w:left="320" w:top="881"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have been excluded from the calculation as the exercise price was greater than the average market price of the common shares: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1,178,000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163,000</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Warrants</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1,828,000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1,423,000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1,068,000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1,423,000</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3,006,000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1,586,000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securities have been excluded from the calculation even though the exercise price was less than the average market price of the common shares during the periods set forth below because the effect of including these potential shares was anti-dilutive due to the net loss incurred during these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ind w:lef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20" w:type="dxa"/>
            <w:vAlign w:val="bottom"/>
          </w:tcPr>
          <w:p>
            <w:pPr>
              <w:spacing w:after="0"/>
              <w:rPr>
                <w:sz w:val="20"/>
                <w:szCs w:val="20"/>
                <w:color w:val="auto"/>
              </w:rPr>
            </w:pPr>
          </w:p>
        </w:tc>
        <w:tc>
          <w:tcPr>
            <w:tcW w:w="338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1,696,000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Warrants</w:t>
            </w:r>
          </w:p>
        </w:tc>
        <w:tc>
          <w:tcPr>
            <w:tcW w:w="3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760,000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2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5,092,000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5,092,000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5,092,000</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6,422,000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7,548,000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7,548,000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6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Stock based compensation expense for employees amounted to $147,000 and $52,000 for the three months ended September 30, 2021 and 2020, respectively, and $361,000 and $266,000 for the nine months ended September 30, 2021 and 2020, respectively. Stock compensation expense for directors amounted to $52,000 and $58,000 for the three months ended September 30, 2021 and 2020, respectively and $156,000 and $159,000 for the nine months ended September 30, 2021 and 2020, respectively. Stock compensation expense for employees and directors was included in operating expenses on the accompanying Condensed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excess of the acquisition cost of businesses over the fair value of the identifiable net assets acquired. The goodwill amount of $163,000 at September 30, 2021 and December 31, 2020 relates to the acquisition of NTW.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not amortized, but is tested at least annually for impairment, or if circumstances occur that more likely than not reduce the fair value of the reporting unit below its carrying amount.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test Goodwill for impairment at December 31, 2021, and has determined that there has been no impairment of goodwill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2016, the FASB issued ASU No. 2016-13, Financial Instruments-Credit Losses (Topic 326) (“ASU 2016- 13”), which significantly changes how entities will account for credit losses for most financial assets and certain other instruments that are not measured at fair value through net income. ASU 2016-13 replaces the existing incurred loss model with an expected credit loss model that requires entities to estimate an expected lifetime credit loss on most financial assets and certain other instruments. Under ASU 2016-13 credit impairment is recognized as an allowance for credit losses, rather than as a direct write-down of the amortized cost basis of a financial asset. The impairment allowance is a valuation account deducted from the amortized cost basis of financial assets to present the net amount expected to be collected on the financial asset. Once the new pronouncement is adopted by the Company, the allowance for credit losses must be adjusted for management’s current estimate at each reporting date. The new guidance provides no threshold for recognition of impairment allowance. Therefore, entities must also measure expected credit losses on assets that have a low risk of loss. For instance, trade receivables that are either current or not yet due may not require an allowance reserve under currently generally accepted accounting principles, but under the new standard, the Company will have to estimate an allowance for expected credit losses on trade receivables under ASU 2016-13. ASU 2016-13 is effective for annual periods, including interim periods within those annual periods, beginning after December 15, 2022 for smaller reporting companies. Early adoption is permitted. The Company will evaluate the impact of ASU 2016-13 on the Company’s consolidated financial statements in a future period closer to the date of adoption.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2020, the FASB issued ASU No. 2020-06, Debt – Debt with Conversion and Other Options (Subtopic 470-20) and Derivatives and Hedging – Contracts in Entity’s Own Equity (Subtopic 815-40) (“ASU 2020-06), which is intended to address issues identified as a result of the 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guidance on the basis of feedback from financial statement users. ASU 2020-06 is effective for fiscal years, and interim periods in those fiscal years, beginning after December 15, 2021. Early adoption is permitted, but no earlier than fiscal years beginning after December 15, 2020, including interim periods with those fiscal years. The Company is evaluating the effect of adopting this new accounting guidance on its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On January 1, 2021, the Company adopted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adoption of ASU 2019-12 did not have a material impact on the Company’s condensed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2021, the Company adopted ASU 2020-04, Reference Rate Reform (Topic 848): Facilitation of the Effects of Reference Rate Reform on Financial Reporting, which provides optional guidance for a limited time to ease the potential burden in accounting for reference rate reform. In January 2021, the FASB issued ASU 2021-01, “Reference Rate Reform” (Topic 848): Scope: which clarified the scope of ASU 2020-04. The new guidance provides optional expedients and exceptions for applying U.S. GAAP to contracts, hedging relationships and other transactions affected by reference rate reform if certain criteria are met. The amendments apply only to contracts and hedging relationships that reference LIBOR or another reference rate expected to be discontinued due to reference rate reform. These amendments may be applied prospectively to contract modifications made and hedging relationships entered into or evaluated on or before December 31, 2022. The adoption of these ASU’s did not have a material impact on the Company’s condensed consolidated financial statements.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the FASB issued ASU No. 2021-04, Earnings Per Share (Topic 260), Debt – Modifications and Extinguishments (Subtopic 470-50), Compensation – Stock Compensation (Topic 718), and Derivatives and Hedging – Contracts in Entity’s Own Equity (Subtopic 815-40): Issuer’s Accounting for Certain Modification or Exchanges of Freestanding Equity-Classified Written Call Options (“ASU 2021-04”), which will clarify and reduce diversity in practice. Specifically, the new standard includes a recognition model comprising four categories of transactions and corresponding accounting treatment for each category. The category that would apply to a modification or an exchange of an equity-classified warrant would depend on the substance of the modification transaction (e.g. a financing transaction to raise equity versus one to raise debt). This recognition model is premised on the idea that the accounting for the transaction should not differ from what it would have been had the issuer of the warrants paid cash instead of modifying the warrants. ASU 2021-04 will be effective for fiscal years beginning after December 15, 2021 and interim periods within those fiscal years. Early adoption is permitted. This ASU will be applied prospectively to modifications or exchanges occurring on or after the effective date of the ASU. The Company is currently evaluating the impact this new guidance will have on its condensed consolidated financial statements.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if currently adopted would have a material effect on the accompanying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3. PROPERTY AND EQUIPMENT</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40" w:type="dxa"/>
            <w:vAlign w:val="bottom"/>
            <w:gridSpan w:val="9"/>
          </w:tcPr>
          <w:p>
            <w:pPr>
              <w:spacing w:after="0"/>
              <w:rPr>
                <w:sz w:val="20"/>
                <w:szCs w:val="20"/>
                <w:color w:val="auto"/>
              </w:rPr>
            </w:pPr>
            <w:r>
              <w:rPr>
                <w:rFonts w:ascii="Arial" w:cs="Arial" w:eastAsia="Arial" w:hAnsi="Arial"/>
                <w:sz w:val="18"/>
                <w:szCs w:val="18"/>
                <w:color w:val="auto"/>
              </w:rPr>
              <w:t>The components of property and equipment at September 30, 2021 and December 31, 2020 consisted of the following:</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1,697,000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1,683,000</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31.50 years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22,035,000</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21,738,000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5 - 8 years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Finance Lease Machinery and Equipment</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78,000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5 - 8 years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Tools and Instruments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12,593,000</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12,116,000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1.50 - 7 years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Automotive Equipment</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148,000</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5 - 8 years</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882,000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855,000</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Term of Lease</w:t>
            </w: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583,000</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4 - 6 years</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18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38,606,000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37,644,000</w:t>
            </w:r>
          </w:p>
        </w:tc>
        <w:tc>
          <w:tcPr>
            <w:tcW w:w="300" w:type="dxa"/>
            <w:vAlign w:val="bottom"/>
            <w:tcBorders>
              <w:top w:val="single" w:sz="8" w:color="CCEEFF"/>
            </w:tcBorders>
            <w:gridSpan w:val="2"/>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(30,147,000)</w:t>
            </w: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(28,063,000)</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04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8,459,000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9,581,000</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September 30, 2021 and 2020 was $688,000 and $576,000, respectively. Depreciation expense for the nine months ended September 30, 2021 and 2020 was $2,105,000 and $1,920,000,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held under financed lease obligations are depreciated over the shorter of their related lease terms or their estimated productive lives. Depreciation of assets under finance leases is included in depreciation expense for 2021 and 2020. Accumulated depreciation on these assets was approximately $32,000 and $28,000 as of September 30, 2021 and December 31,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operating and finance leases for leased office and manufacturing facilities and equipment leases. The Company leases certain machinery and equipment under finance leases and leases its offices and manufacturing facilities under operating leases. The leases have remaining lease terms of one to six years, some of which include options to extend or terminate the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660" w:type="dxa"/>
            <w:vAlign w:val="bottom"/>
          </w:tcPr>
          <w:p>
            <w:pPr>
              <w:spacing w:after="0"/>
              <w:rPr>
                <w:sz w:val="20"/>
                <w:szCs w:val="20"/>
                <w:color w:val="auto"/>
              </w:rPr>
            </w:pPr>
          </w:p>
        </w:tc>
        <w:tc>
          <w:tcPr>
            <w:tcW w:w="5040" w:type="dxa"/>
            <w:vAlign w:val="bottom"/>
            <w:gridSpan w:val="2"/>
          </w:tcPr>
          <w:p>
            <w:pPr>
              <w:jc w:val="center"/>
              <w:ind w:left="383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46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in years</w:t>
            </w:r>
          </w:p>
        </w:tc>
        <w:tc>
          <w:tcPr>
            <w:tcW w:w="5320" w:type="dxa"/>
            <w:vAlign w:val="bottom"/>
            <w:gridSpan w:val="3"/>
            <w:shd w:val="clear" w:color="auto" w:fill="CCEEFF"/>
          </w:tcPr>
          <w:p>
            <w:pPr>
              <w:ind w:left="4720"/>
              <w:spacing w:after="0"/>
              <w:rPr>
                <w:sz w:val="20"/>
                <w:szCs w:val="20"/>
                <w:color w:val="auto"/>
              </w:rPr>
            </w:pPr>
            <w:r>
              <w:rPr>
                <w:rFonts w:ascii="Arial" w:cs="Arial" w:eastAsia="Arial" w:hAnsi="Arial"/>
                <w:sz w:val="18"/>
                <w:szCs w:val="18"/>
                <w:color w:val="auto"/>
              </w:rPr>
              <w:t>4.87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5.53</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discount rate - %</w:t>
            </w:r>
          </w:p>
        </w:tc>
        <w:tc>
          <w:tcPr>
            <w:tcW w:w="5320" w:type="dxa"/>
            <w:vAlign w:val="bottom"/>
            <w:gridSpan w:val="3"/>
          </w:tcPr>
          <w:p>
            <w:pPr>
              <w:ind w:left="4720"/>
              <w:spacing w:after="0"/>
              <w:rPr>
                <w:sz w:val="20"/>
                <w:szCs w:val="20"/>
                <w:color w:val="auto"/>
              </w:rPr>
            </w:pPr>
            <w:r>
              <w:rPr>
                <w:rFonts w:ascii="Arial" w:cs="Arial" w:eastAsia="Arial" w:hAnsi="Arial"/>
                <w:sz w:val="18"/>
                <w:szCs w:val="18"/>
                <w:color w:val="auto"/>
              </w:rPr>
              <w:t>8.89%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8.90%</w:t>
            </w:r>
          </w:p>
        </w:tc>
      </w:tr>
      <w:tr>
        <w:trPr>
          <w:trHeight w:val="641"/>
        </w:trPr>
        <w:tc>
          <w:tcPr>
            <w:tcW w:w="46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w w:val="90"/>
              </w:rPr>
              <w:t>The aggregate undiscounted cash flows of operating lease payments for leases with remaining terms greater than one year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1,007,000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730,000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discount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(999,000)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maturities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current portion of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(664,000)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 term portion of operating lease maturities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29, 2021 the Company entered into an agreement to surrender possession of the premises of the former corporate office, located in Hauppauge, NY. The Company made a one-time payment of 40% of the remaining balance due to the landlord as of May 1, 2021, of approximately $37,000. The Company had previously recognized a lease impairment of $275,000 to its Operating Lease Right-of-Use-Asset for the year-ended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NOTES PAYABLE, RELATED PARTY NOTES PAYABLE AND FINANCE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finance lease obligations at September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note payable to Sterling National Bank ("SNB")</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15,649,000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 SNB</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4,411,000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5,558,000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Payable - financed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notes payable, net of debt discount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6,412,000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24,329,000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27,273,000</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 related party notes payable and finance lease obligations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(14,285,000)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(16,475,000)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related party notes payable and finance lease obligations,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of current portion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10,044,000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10,798,000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Sterling National Bank (“SNB”)</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2019, the Company entered into a loan facility (“SNB Facility”) with SNB expiring on December 30, 2022. The loan facility provides for a $16,000,000 revolving loan (“SNB revolving line of credit”) and a term loan (“SNB term loan”).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the Company entered into the First Amendment to the Loan and Security Agreement (“First Amendment”). The terms of the amendment increase the Term Loan to $5,685,000. The repayment terms of the term loan were amended to provide monthly principal installments in the amount of $67,679 beginning on December 1, 2020, with a final payment of any unpaid balance of principal and interest payable on December 30, 2022. Additionally, the date by which certain subordinated third-party notes need to be extended was changed from September 30, 2020 to November 30, 2020. The Company paid an amendment fee of $20,000.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On June 14, 2021, the Company entered into the Second Amendment to the Loan and Security Agreement (“Second Amendment”). The purpose of the Second Amendment was to clarify the definition and calculation of Excess Cash Flow, and to confirm the extension of the due date for the payment of the Excess Cash Flow payment. For so long as the SNB term loan remains outstanding, if Excess Cash Flow (as defined) is a positive number for any fiscal year the Company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the close of the fiscal year immediately following such fiscal year. The amount of the Excess Cash Flow payment for the year ended December 31, 2020 was calculated to be $558,750. Per the terms of the Second Amendment, the Excess Cash Flow is payable in three instalments of $186,250 on each of June 15, 2021, June 30, 2021, and September 15, 2021. As of September 30, 2021, the Company paid this in full. Additionally, the Company paid an amendment fee of $10,000.</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terms of the SNB Facility require that, among other things, the Company maintain a specified Fixed Charge Coverage Ratio of 1.25 to 1.00 at the end of each Fiscal Quarter beginning with the Fiscal Quarter ending March 31, 2020. In addition, the Company is limited in the amount of Capital Expenditures it can make. As of September 30, 2021, the Company was in compliance with all loan covenants. The SNB Facility also restricts the amount of dividends the Company may pay to its stockholders. Substantially all of the Company’s assets are pledged as collateral under the SNB Facility.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aggregate payments for the term note at September 30, 2021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4,247,000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SNB Term Loan payable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SNB Term Loan payable, net of debt issuance costs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 of SNB Term Loan payable</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(812,000)</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portion of SNB Term Loan payable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SNB Facility, both the SNB revolving line of credit and the SNB term loan bear an interest rate equal to 30-day LIBOR (with a 1% floor) plus 2.5%. The average interest rate charged during the period ended September 30, 2021 was 3.5%.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debt to SNB in the amount of $17,874,000 consisted of the SNB revolving line of credit note in the amount of $13,463,000 and the SNB term loan in the amount of $4,411,000. As of December 31, 2020, the debt to SNB in the amount of $21,207,000 consisted of the SNB revolving line of credit note in the amount of $15,649,000 and the SNB term loan in the amount of $5,558,000.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SNB Facility amounted to approximately $181,000 and $147,000 for the three months ended September 30, 2021 and 2020, respectively, and $542,000 and $420,000 for the nine months ended September 30, 2021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Payable – Financed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financed the purchase of a delivery vehicle in July 2020. The loan obligation totaled $41,000 and $48,000 as of September 30, 2021 and December 31, 2020, respectively. The loan bears no interest and a final payment is due and payable for all unpaid principal on July 20, 2026.</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Annual maturities of this loan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For the twelve months ending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Loans Payable - financed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Taglich Brothers, Inc. is a corporation co-founded by two directors of the Company, Michael and Robert Taglich.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Taglich Brothers, Inc. has acted as placement agent for various debt and equity financing transactions and has received cash and equity compensation for their services.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2016 through 2020, the Company entered into various subordinated notes payable and convertible subordinated notes payable with Michael and Robert Taglich. These notes resulted in proceeds to the Company totaling $6,550,000. In connection with these notes, Michael and Robert were issued a total of 355,082 shares of common stock and Taglich Brothers Inc. was issued promissory notes totaling $554,000 for placement agency fees.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 2021, the related party subordinated notes due to Michael and Robert Taglich and Taglich Brothers, Inc., were amended to include all accrued interest through December 31, 2020 in the principal balance of the notes. Per the terms of the SNB Facility, these notes remain subordinate to the SNB Facility and are due on July 1, 2023. Approximately $2,732,000 of the related party subordinated notes can be converted at the option of the holder into Common Stock of the Company at $0.93 per share, while the remaining $2,080,000 of the related party subordinated notes can be converted at the option of the holder into Common Stock of the Company at $1.50 per share. There are no principal payments due on these notes until such time. The note holders and the principal balance of the notes as amended on January 1, 2021 are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7"/>
              </w:rPr>
              <w:t>Michael Taglich,</w:t>
            </w:r>
          </w:p>
        </w:tc>
        <w:tc>
          <w:tcPr>
            <w:tcW w:w="142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Robert Taglich,</w:t>
            </w:r>
          </w:p>
        </w:tc>
        <w:tc>
          <w:tcPr>
            <w:tcW w:w="154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Taglich Brothers,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Chairman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Director</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Inc.</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Subordinated Notes</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2,666,000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1,905,000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Subordinated Notes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7"/>
        </w:trPr>
        <w:tc>
          <w:tcPr>
            <w:tcW w:w="5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3,916,000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2,255,000</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2021, no principal payments have been made on these notes and the principal balances remain unchanged from the table above. Interest expense for the three months ended September 30, 2021 and 2020 on all related party notes payable was $126,000 and $125,000, respectively, and $376,000 and $378,000 for the nine months ended September 30,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Payable – Third Parties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both September 30, 2021 and December 31, 2020, the notes payable to third parties totaled $0 as the notes were converted into shares of common stock in 2020. Interest incurred on these notes amounted to approximately $38,000 and $118,000 for the three and nine months ended September 30, 2020, respectively. Amortization of debt discount on these notes amounted to approximately $0 and $7,000 for the three and nine months ended September 30, 2020, respectively. These costs are included in interest and financing costs in the Condensed Consolidated Statement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LIABILITY RELATED TO THE SALE OF FUTURE PROCEEDS FROM DISPOSITION OF SUBSIDIARY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sale of the Company’s wholly-owned subsidiary, AMK Welding, Inc. (“AMK”) to Meyer Tool, Inc., (“Meyer”) in 2017, Meyer was obligated to pay the Company within 30 days after the end of each calendar quarter, commencing April 1, 2017, an amount equal to five (5%) percent of the net sales of AMK for that quarter until the aggregate payments made to the Company (the “Meyer Agreement”) equals $1,500,000 (the “Maximum Amount”).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increase liquidity, on January 15, 2019, the Company entered into a “Purchase Agreement” with 15 accredited investors (the “Purchasers”), including Michael and Robert Taglich, pursuant to which the Company assigned to the Purchasers all of its rights, title and interest to the remaining $1,137,000 of the $1,500,000 in payments due from Meyer for the sale of AMK (the “Remaining Amount”) for an immediate payment of $800,000, including $100,000 from each of Michael and Robert Taglich, and $75,000 for the benefit of the children of Michael Taglich. The timing of the payments is based upon the net sales of AMK. If the Purchasers have not received the entire Remaining Amount by March 31, 2023, they have the right to demand payment of their pro rata portion of the unpaid Remaining Amount from the Company (“Put Right”). To the extent the Purchasers exercise their Put Right, the remaining payments from Meyer will be retained by the Company.</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$79,000 and $91,000 of non-cash income for the three months ended September 30, 2021 and 2020, respectively, and $274,000 and $302,000 of non-cash income for the nine months ended September 30, 2021 and 2020, respectively, reflected in “other income, net” on the condensed consolidated statements of operations and recorded $24,000 and $26,000 of related non-cash interest expense related to the Purchase Agreement for the three months ended September 30, 2021 and 2020, respectively, and $82,000 and $90,000 for the nine months ended September 30,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activity within the liability account for the nine months ended September 30, 2021 and the year ended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sale of future proceeds from disposition of subsidiaries - beginning balance</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602,000</w:t>
            </w:r>
          </w:p>
        </w:tc>
        <w:tc>
          <w:tcPr>
            <w:tcW w:w="8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Non-Cash other income recognized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(274,000)</w:t>
            </w:r>
          </w:p>
        </w:tc>
        <w:tc>
          <w:tcPr>
            <w:tcW w:w="2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(402,000)</w:t>
            </w:r>
          </w:p>
        </w:tc>
      </w:tr>
      <w:tr>
        <w:trPr>
          <w:trHeight w:val="25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recognized</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21"/>
                <w:szCs w:val="21"/>
                <w:color w:val="auto"/>
              </w:rPr>
            </w:pPr>
          </w:p>
        </w:tc>
      </w:tr>
      <w:tr>
        <w:trPr>
          <w:trHeight w:val="203"/>
        </w:trPr>
        <w:tc>
          <w:tcPr>
            <w:tcW w:w="78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Liabilities related to sale of future proceeds from disposition of subsidiary - ending balance</w:t>
            </w: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130,000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322,000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transaction costs</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r>
      <w:tr>
        <w:trPr>
          <w:trHeight w:val="237"/>
        </w:trPr>
        <w:tc>
          <w:tcPr>
            <w:tcW w:w="7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Liability related to sale of future proceeds from disposition of subsidiary, net</w:t>
            </w:r>
          </w:p>
        </w:tc>
        <w:tc>
          <w:tcPr>
            <w:tcW w:w="8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 Sale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issued 39,983 and 41,915 shares of common stock in payment of director fees totaling $52,000 and $58,000 for the three months ended September 30, 2021 and 2020, respectively, and 119,335 and 132,812 shares totaling $156,000 and $159,000 for the nine months ended September 30, 2021 and 2020, respectively. Additionally, the Company issued 51,224 shares of common stock upon the cashless exercise of stock options during the nine months ended September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the Company issued and sold 419,597 shares of our common stock for gross proceeds of $984,000 pursuant to a Form S-3 filed on October 10, 2019 as updated on January 15, 2020. Costs of the sale amounted to $145,000.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During the nine months ended September 30, 2020, the Company issued 590,243 shares of common stock to convert third party subordinated debt totaling $885,000 to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or about October 1, 2021, the Company issued 50,476 shares of common stock in payment of directors’ fees totaling $54,000.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Stock Options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January 11, 2021, the Company granted to its directors, stock options to purchase an aggregate of 70,000 shares of the Company’s common stock at a price of $1.32 per share. The options expire on the seventh anniversary of the grant date and vest over a term of one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2021, the Company granted to certain members of management and certain employees, stock options to purchase an aggregate of 327,500 shares of the Company’s common stock at a price of $1.39 per share. The options expire on the fifth anniversary of the grant date and vest over a term of three years.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30, 2021, the Company granted to certain members of management and certain employees, stock options to purchase an aggregate of 415,000 shares of the Company’s common stock at a price of $1.22 per share. The options expire on the fifth anniversary of the grant date and vest over a term of one to three years.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actions have been commenced against the Company by vendors, landlords and former landlords, including a third party claim as a result of an injury suffered on a portion of a leased property not occupied by the Company. As certain portions of these claims represent amounts included in accounts payable they are not specifically discussed herein.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Contract Pharmacal Corp. (“Contact Pharmacal”) commenced an action on October 2, 2018, relating to a Sublease entered into between the Company and Contract Pharmacal in May 2018 with respect to the property at 110 Plant Avenue, Hauppauge, New York. In the action Contract Pharmacal originally sought damages in excess of $1,000,000 for the Company’s failure to make the entire premises available by the Sublease commencement date. On July 8, 2021, the Court denied Contract Pharmacal’s Motion for Summary Judgement. In the Order, the Court granted Contract Pharmacal’s Motions to drop its claim for specific performance and to amend its Complaint to reduce its claim for damages to $700,000. The Company continues to dispute the validity of the claims asserted by Contract Pharmacal and believes it has meritorious defenses to those claims. As of September 30, 2021, it is not possible to estimate if a loss will be incurred, as such there has been no accrual.</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the Company may be engaged in various lawsuits and legal proceedings in the ordinary course of business. Currently management is not aware of any legal proceedings the ultimate outcome of which, in its judgment based on information currently available, would have a material adverse effect on the Company’s business, financial condition or operating results. There are no proceedings in which any of the Company’s directors, officers or affiliates, or any registered or beneficial stockholder of its common stock, is an adverse party or has a material interest averse to our interest.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no income tax expense for the three and nine months ended September 30, 2021 and 2020 because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passage of the CARES Act, the Company filed for a net operating loss carryback claim of $1,416,000 in March 2020. The refund was received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provided a full valuation allowance against its net deferred tax assets since the Company believes it is more likely than not that its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FASB ASC 280, “Segment Reporting” (“ASC 280”), the Company discloses financial and descriptive information about its reportable operating segments. Operating segments are components of an enterprise about which separate financial information is available and regularly evaluated by the chief operating decision maker in deciding how to allocate resources and in assessing performance.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280, which establishes standards for reporting information about operating segments in annual and interim financial statements, and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divides its operations into two operating segments: Complex Machining, which consists of AIM and NTW; and Turbine Engine Components, which consists of Sterling. Along with its operating subsidiaries, the Company reports the results of its corporate division as an independent segment.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of each of the segments are the same as those described in the Summary of Significant Accounting Policies. Intersegment transfers are recorded at the transferor’s cost, and there is no intercompany profit or loss on intersegment transfers. Management evaluates performance based on revenue, gross profit contribution and assets employed.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about the Company’s reporting segments for the three and nine months ended September 30, 2021 and 2020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9"/>
              </w:rPr>
              <w:t>For the Three Months</w:t>
            </w:r>
          </w:p>
        </w:tc>
        <w:tc>
          <w:tcPr>
            <w:tcW w:w="21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9"/>
              </w:rPr>
              <w:t>Ended September 30,</w:t>
            </w:r>
          </w:p>
        </w:tc>
        <w:tc>
          <w:tcPr>
            <w:tcW w:w="21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9"/>
              </w:rPr>
              <w:t>Ended September 30,</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23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(unaudited)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4"/>
              </w:rPr>
              <w:t>(unaudited)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$ 13,043,000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$ 12,423,000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$ 38,992,000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$ 31,795,000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2,022,000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1,735,000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5,966,000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4,584,000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benefit from income taxes</w:t>
            </w:r>
          </w:p>
        </w:tc>
        <w:tc>
          <w:tcPr>
            <w:tcW w:w="3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1,420,000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49,275,000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52,963,000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49,275,000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52,963,000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1,311,000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4,527,000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(loss) Profit</w:t>
            </w:r>
          </w:p>
        </w:tc>
        <w:tc>
          <w:tcPr>
            <w:tcW w:w="3440" w:type="dxa"/>
            <w:vAlign w:val="bottom"/>
            <w:gridSpan w:val="3"/>
          </w:tcPr>
          <w:p>
            <w:pPr>
              <w:jc w:val="right"/>
              <w:ind w:right="140"/>
              <w:spacing w:after="0"/>
              <w:rPr>
                <w:sz w:val="20"/>
                <w:szCs w:val="20"/>
                <w:color w:val="auto"/>
              </w:rPr>
            </w:pPr>
            <w:r>
              <w:rPr>
                <w:rFonts w:ascii="Arial" w:cs="Arial" w:eastAsia="Arial" w:hAnsi="Arial"/>
                <w:sz w:val="18"/>
                <w:szCs w:val="18"/>
                <w:color w:val="auto"/>
              </w:rPr>
              <w:t>(8,000)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448,000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3,443,000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3,941,000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3,443,000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3,941,000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CORPORATE</w:t>
            </w: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(1,367,000)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(3,932,000)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803,000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1,860,000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803,000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1,860,000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CONSOLIDATED</w:t>
            </w: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14,354,000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13,662,000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43,519,000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35,603,000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2,014,000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1,656,000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6,414,000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4,451,000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benefit from income taxes</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(1,003,000)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Assets</w:t>
            </w:r>
          </w:p>
        </w:tc>
        <w:tc>
          <w:tcPr>
            <w:tcW w:w="3440" w:type="dxa"/>
            <w:vAlign w:val="bottom"/>
            <w:gridSpan w:val="3"/>
          </w:tcPr>
          <w:p>
            <w:pPr>
              <w:jc w:val="right"/>
              <w:ind w:right="200"/>
              <w:spacing w:after="0"/>
              <w:rPr>
                <w:sz w:val="20"/>
                <w:szCs w:val="20"/>
                <w:color w:val="auto"/>
              </w:rPr>
            </w:pPr>
            <w:r>
              <w:rPr>
                <w:rFonts w:ascii="Arial" w:cs="Arial" w:eastAsia="Arial" w:hAnsi="Arial"/>
                <w:sz w:val="18"/>
                <w:szCs w:val="18"/>
                <w:color w:val="auto"/>
              </w:rPr>
              <w:t>$ 53,521,000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$ 58,764,000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$ 53,521,000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$ 58,764,000</w:t>
            </w:r>
          </w:p>
        </w:tc>
        <w:tc>
          <w:tcPr>
            <w:tcW w:w="0" w:type="dxa"/>
            <w:vAlign w:val="bottom"/>
          </w:tcPr>
          <w:p>
            <w:pPr>
              <w:spacing w:after="0"/>
              <w:rPr>
                <w:sz w:val="1"/>
                <w:szCs w:val="1"/>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unaudited condensed consolidated financial statements and notes to those statements included elsewhere in this Form 10-Q and with the audited consolidated financial statements and the notes thereto included in our Annual Report on Form 10-K, for the year ended December 31, 2020 (the “2020 Form 10-K”). This discussion contains forward-looking statements that involve risks and uncertainties. You should specifically consider the various risk factors identified in this report that could cause actual results to differ materially from those anticipated in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contained in this report as well as the discussion below principally reflect the status of our business and the results of our operations as of September 30, 2021.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AIM became a public company in 2005 and we are an aerospace company operating primarily in the defense industry. Our Complex Machining segment manufactures structural parts and assemblies that focus on flight safety, including landing gear, arresting gear, engine mounts, flight controls, throttle quadrants, and other components. Our Turbine Engine Components segment makes components and provides services for jet engines and ground-power turbines. Our products are currently deployed on a wide range of high-profile military and commercial aircraft including the Sikorsky UH-60 Blackhawk, Lockheed Martin F-35 Joint Strike Fighter, Northrop Grumman E2D Hawkeye, the US Navy F-18 and USAF F-16 fighter aircraft, Boeing 777 commercial airliners. Our Turbine Engine segment makes components for jet engines that are used on the USAF F-15 and F-16, the Airbus A-330 and the Boeing 777, in addition to a number of ground-power turbine applications.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aerospace market is highly competitive in both the defense and commercial sectors and we face intense competition in all areas of our business. Nearly all of our revenues are derived by producing products to customer specifications after being awarded a contract through a competitive bidding process. As the commercial aerospace and defense industries continue to consolidate and major contractors seek to streamline supply chains by buying more complete sub-assemblies from fewer suppliers, we have sought to remain competitive not only by providing cost-effective world class service but also by increasing our ability to produce more complex and complete assemblies for our customers.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currently focused on maintaining profitability, achieving positive cash flows from operating activities and remain resolute on meeting customers’ needs. In order to take advantage of the long-term growth opportunities we see in our markets, we have made significant capital investments in new equipment in recent years and have expanded our operations and manufacturing cells located in our Connecticut facility where our Turbine Engine segment is located. We believe these investments will increase the volume and efficiency of production, increase the size of product we can make and allow us to offer additional services to our customers. We are pleased with the positive responses received from our customers to date.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continue to operate profitably and generate positive cash flows from operating activities is determined by our ability to win new contracts and renewals of existing contracts, and then fulfill these contracts on a timely basis at costs that enable us to generate a profit based upon the agreed upon contract price. Winning a contract generally requires that we submit a bid containing a fixed price for the product or products covered by the contract for an agreed upon period of time. Thus, when submitting bids, we are required to estimate our future costs of production and, since we often rely upon subcontractors, the prices we can obtain from our subcontractors.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648"/>
        <w:spacing w:after="0" w:line="290" w:lineRule="auto"/>
        <w:rPr>
          <w:sz w:val="20"/>
          <w:szCs w:val="20"/>
          <w:color w:val="auto"/>
        </w:rPr>
      </w:pPr>
      <w:r>
        <w:rPr>
          <w:rFonts w:ascii="Arial" w:cs="Arial" w:eastAsia="Arial" w:hAnsi="Arial"/>
          <w:sz w:val="16"/>
          <w:szCs w:val="16"/>
          <w:color w:val="auto"/>
        </w:rPr>
        <w:t>While our revenues are largely determined by the number of contracts we are awarded, the volume of product delivered and price of product under each contract, our costs are determined by a number of factors. The principal factors impacting our costs are the cost of materials and supplies, labor, financing and the efficiency at which we can produce our products. The cost of materials used in the aerospace industry is highly volatile. In addition, the market for the skilled labor we require to operate our plants is highly competitive. The profit margin of the various products we sell varies based upon a number of factors, including the complexity of the product, the intensity of the competition for such product and, in some cases, the ability to deliver replacement parts on short notice. Thus, in assessing our performance from one period to another, a reader must understand that changes in profit margin can be the result of shifts in the mix of products sold. Our operations have a large percentage of fixed factory overhead. As a result, our profit margins are also highly variable with sales volumes as under-absorption of factory overhead decreases profits.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very large percentage of the products we produce are used on military as opposed to civilian aircraft. These products can be replacements for aircraft already in the fleet of the armed services or for the production of new aircraft. Recent increases in Defense Department spending have increased orders for our products. Reductions to the Defense Department budget or decreased usage of aircraft reduces the demand for both new production and replacement spares and could adversely impact our business and our revenues. We are focusing greater efforts on the civilian aircraft market though we still remain dependent upon the military for an overwhelming portion of our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follow Financial Accounting Standards Board (“FASB”) ASC 280, “Segment Reporting” (“ASC 280”), which establishes standards for reporting information about operating segments in annual and interim financial statements, ASC 280 requires that companies report financial and descriptive information about their reportable segments based on a management approach. ASC 280 also establishes standards for related disclosures about products and services, geographic areas and major customers.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divide our operations into two operating segments: Complex Machining and Turbine Engine Components. Along with our operating subsidiaries, we report the results of our corporate office as an independent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our segments are the same as those described in the Summary of Significant Accounting Policies. We evaluate performance based on revenue, gross profit contribution and assets employed.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the following discussion of our selected financial information and operating results, we have presented our financial information based on our continuing operations unless otherwise noted.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24"/>
                <w:szCs w:val="24"/>
                <w:color w:val="auto"/>
              </w:rPr>
            </w:pPr>
          </w:p>
        </w:tc>
        <w:tc>
          <w:tcPr>
            <w:tcW w:w="2420" w:type="dxa"/>
            <w:vAlign w:val="bottom"/>
            <w:gridSpan w:val="5"/>
          </w:tcPr>
          <w:p>
            <w:pPr>
              <w:jc w:val="right"/>
              <w:ind w:right="161"/>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4"/>
              </w:rPr>
              <w:t>(unaudited)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14,354,000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13,662,000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43,519,000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35,603,000</w:t>
            </w: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12,340,000</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12,006,000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37,105,000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31,152,000</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7"/>
              </w:rPr>
              <w:t>6,414,000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 and interest and financing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2,168,000</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2,255,000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6,731,000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7,231,000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88,000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363,000</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shd w:val="clear" w:color="auto" w:fill="CCEEFF"/>
          </w:tcPr>
          <w:p>
            <w:pPr>
              <w:spacing w:after="0"/>
              <w:rPr>
                <w:sz w:val="21"/>
                <w:szCs w:val="21"/>
                <w:color w:val="auto"/>
              </w:rPr>
            </w:pP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(477,000</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(1,003,000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30"/>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17,002,000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16,284,000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53,521,000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57,777,000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15,647,000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15,109,000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results of operations for each of our segments individually and on a consolidated basis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Three Months</w:t>
            </w:r>
          </w:p>
        </w:tc>
        <w:tc>
          <w:tcPr>
            <w:tcW w:w="120" w:type="dxa"/>
            <w:vAlign w:val="bottom"/>
          </w:tcPr>
          <w:p>
            <w:pPr>
              <w:spacing w:after="0"/>
              <w:rPr>
                <w:sz w:val="19"/>
                <w:szCs w:val="19"/>
                <w:color w:val="auto"/>
              </w:rPr>
            </w:pPr>
          </w:p>
        </w:tc>
        <w:tc>
          <w:tcPr>
            <w:tcW w:w="2420" w:type="dxa"/>
            <w:vAlign w:val="bottom"/>
            <w:gridSpan w:val="5"/>
          </w:tcPr>
          <w:p>
            <w:pPr>
              <w:ind w:left="30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12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COMPLEX MACHINING</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13,043,000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12,423,000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31,795,000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2,022,000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1,735,000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5,966,000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4,584,000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49,275,000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52,963,000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49,275,000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52,963,000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TURBINE ENGINE COMPONENTS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1,311,000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4,527,000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(Loss) Profit</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448,000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3,443,000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3,941,000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3,443,000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3,941,000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(3,932,000)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(3,895,000)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803,000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803,000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14,354,000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43,519,000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2,014,000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1,656,000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6,414,000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4,451,000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benefit from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(1,414,000)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53,521,000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58,764,000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53,521,000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58,764,000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net sales for the three months ended September 30, 2021 were $14,354,000, an increase of $692,000, or 5.1%, compared with $13,662,000 for the three months ended September 30, 2020. The increase in consolidated net sales is driven by our ability to increase production and return to pre-COVID-19 business environment.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sales of our Complex Machining segment were $13,043,000 in the three months ended September 30, 2021, an increase of $620,000, or 5.0%, from $12,423,000 in the three months ended September 30, 2020. Net sales in our Turbine Engine Components segment for the three months ended September 30, 2021 were $1,311,000, an increase of $72,000, or 5.8%, compared with $1,239,000 for the three months ended September 30,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As indicated in the table below, two customers represented 67.7% and three customers represented 70.6% of total sales for the three months ended September 30, 2021 and September 30,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7"/>
        </w:trPr>
        <w:tc>
          <w:tcPr>
            <w:tcW w:w="8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30"/>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r>
      <w:tr>
        <w:trPr>
          <w:trHeight w:val="202"/>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25.80%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21.60%</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was less than 10% of sales for the three months ended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gross profit from operations for the three months ended September 30, 2021 was $2,014,000, an increase of $358,000, or 21.6%, as compared to gross profit of $1,656,000 for the three months ended September 30, 2020. Consolidated gross profit as a percentage of sales was 14.0% and 12.1% for the three months ended September 30, 2021 and 2020,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interim periods, substantially all of our inventory value has been estimated using a gross profit percentage based on annual gross profit percentages of the immediately preceding year as applied to the net sales of the current period. However, during the three months ended September 30, 2021, we increased our estimate of the gross profit percentage for our Complex Machining segment from the percentage for 2020 based on the better absorption of Manufacturing Overhead which results from increased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operating expenses for the three months ended September 30, 2021 totaled $1,837,000 and decreased by $59,000 or 3.1% compared to $1,896,000 for the three months ended September 30, 2020. The decrease in operating expenses is due to management’s successful efforts to reduce costs as well as timing.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and financing costs for the three months ended September 30, 2021 were $331,000 a decrease of $28,000 or 7.8% compared to $359,000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for the three months ended September 30, 2021 was $66,000, compared to a net loss of $477,000 for the three months ended September 30, 2020. The lower loss period-over-period primarily reflects our ability to generate operating income in fiscal 2021 as compared to an operating loss in fiscal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 for the nine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net sales for the nine months ended September 30, 2021 were $43,519,000, an increase of $7,916,000, or 22.2%, compared with $35,603,000 for the nine months ended September 30, 2020. The increase in consolidated net sales is driven by our ability to increase production and return to pre-Covid-19 business environment.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sales of our Complex Machining segment were $38,992,000 in the nine months ended September 30, 2021, an increase of $7,197,000, or 22.6%, from $31,795,000 in the nine months ended September 30, 2020. Net sales in our Turbine Engine Components segment were $4,527,000 for the nine months ended September 30, 2021, an increase of $719,000, or 18.9% compared with $3,808,000 for the nine months ended September 30, 2020.</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indicated in the table below, three customers represented 75.5% and 74.2% of total sales for the nine months ended September 30, 2021 and September 30,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Percentage of Sales</w:t>
            </w:r>
          </w:p>
        </w:tc>
      </w:tr>
      <w:tr>
        <w:trPr>
          <w:trHeight w:val="236"/>
        </w:trPr>
        <w:tc>
          <w:tcPr>
            <w:tcW w:w="8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30"/>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r>
      <w:tr>
        <w:trPr>
          <w:trHeight w:val="202"/>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Goodrich Landing Gear Systems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Sikorsky Aircraft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Department of Defense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gross profit from operations for the nine months ended September 30, 2021 was $6,414,000, an increase of $1,963,000, or 44.1%, as compared to gross profit of $4,451,000 for the nine months ended September 30, 2020. Consolidated gross profit as a percentage of sales was 14.7% and 12.5% for the nine months ended September 30, 2021 and 2020,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interim periods, substantially all of our inventory value has been estimated using a gross profit percentage based on annual gross profit percentages of the immediately preceding year as applied to the net sales of the current period. However, during the nine months ended September 30, 2021, we increased our estimate of the gross profit percentage for our Complex Machining segment based on the better absorption of Manufacturing Overhead which results from increased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Consolidated operating expenses for the nine months ended September 30, 2021 totaled $5,770,000 and decreased by $294,000 or 4.8% compared to $6,064,000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Costs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and financing costs for the nine months ended September 30, 2021 were $961,000 a decrease of $206,000 or 17.7% compared to $1,167,000 for the nine months ended September 30, 2020. This decrease is attributable to the conversion of our third party Convertible Debt during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for the nine months ended September 30, 2021 was $21,000, compared to a net loss of $1,003,000 for the nine months ended September 30, 2020, for the reasons discussed above. The Company was able to generate net income for its most recent nine-month period primarily due to the generating of operating income in fiscal 2021 as compared to an operating loss in fiscal 2020. The Company recorded a benefit from income taxes of $1,414,000 for the nine months ended September 30, 2020 pursuant to the filing of a net operating loss claim (see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fiscal 2020, we took advantage of a number of U.S. government programs to improve our liquidity to offset the negative impact to our business from COVID-19. These steps included:</w:t>
      </w:r>
    </w:p>
    <w:p>
      <w:pPr>
        <w:spacing w:after="0" w:line="170"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Received Low Interest Loans from the SBA</w:t>
      </w:r>
      <w:r>
        <w:rPr>
          <w:rFonts w:ascii="Arial" w:cs="Arial" w:eastAsia="Arial" w:hAnsi="Arial"/>
          <w:sz w:val="18"/>
          <w:szCs w:val="18"/>
          <w:color w:val="auto"/>
        </w:rPr>
        <w:t xml:space="preserve"> – In May 2020, our three operating subsidiaries entered into government subsidized loans with Sterling National Bank (“SNB”) in an aggregate principal amount of $2.4 million (“SBA Loans”).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Applied for and Received Forgiveness of the SBA Loans</w:t>
      </w:r>
      <w:r>
        <w:rPr>
          <w:rFonts w:ascii="Arial" w:cs="Arial" w:eastAsia="Arial" w:hAnsi="Arial"/>
          <w:sz w:val="18"/>
          <w:szCs w:val="18"/>
          <w:color w:val="auto"/>
        </w:rPr>
        <w:t xml:space="preserve"> – In accordance with U.S. government regulations we applied to SNB for forgiveness of each Loan in full and in December 2020 we received final approval from the SBA that the entire principal amount of our SBA Loans plus accrued interest had been forgiven.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64" w:gutter="0" w:footer="0" w:header="0"/>
        </w:sectPr>
      </w:pPr>
    </w:p>
    <w:bookmarkStart w:id="27" w:name="page28"/>
    <w:bookmarkEnd w:id="27"/>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Deferred Certain Tax Payments</w:t>
      </w:r>
      <w:r>
        <w:rPr>
          <w:rFonts w:ascii="Arial" w:cs="Arial" w:eastAsia="Arial" w:hAnsi="Arial"/>
          <w:sz w:val="18"/>
          <w:szCs w:val="18"/>
          <w:color w:val="auto"/>
        </w:rPr>
        <w:t xml:space="preserve"> – In accordance with Section 2302 of the CARES Act, we elected to defer the deposit and payment of the employer’s portion of Social Security taxes. These deferred amounts must be repaid 50% on December 31, 2021 with the remaining 50% on December 31, 2022. As of December 31, 2020, we deferred $627,000, which is included in Deferred payroll tax liability – CARES Act on the accompanying Condensed Consolidated Balance Sheet.</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Received a Net Operating Loss Refund</w:t>
      </w:r>
      <w:r>
        <w:rPr>
          <w:rFonts w:ascii="Arial" w:cs="Arial" w:eastAsia="Arial" w:hAnsi="Arial"/>
          <w:sz w:val="18"/>
          <w:szCs w:val="18"/>
          <w:color w:val="auto"/>
        </w:rPr>
        <w:t xml:space="preserve"> – Pursuant to the CARES Act, we filed a net operating loss carryback claim for $1,416,000, which was received during the second quarter 2020.</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Also, the U.S. Department of Defense has, to date, taken steps to increase the rate for certain progress payments from 80 percent to 90 percent for costs incurred and work performed on certain contracts.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taking advantage of U.S. government programs, during fiscal 2020 we took additional significant steps to improve our liquidity and operating performance, including:</w:t>
      </w:r>
    </w:p>
    <w:p>
      <w:pPr>
        <w:spacing w:after="0" w:line="170" w:lineRule="exact"/>
        <w:rPr>
          <w:sz w:val="20"/>
          <w:szCs w:val="20"/>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Entered into a Lower Cost Financing Facility</w:t>
      </w:r>
      <w:r>
        <w:rPr>
          <w:rFonts w:ascii="Arial" w:cs="Arial" w:eastAsia="Arial" w:hAnsi="Arial"/>
          <w:sz w:val="18"/>
          <w:szCs w:val="18"/>
          <w:color w:val="auto"/>
        </w:rPr>
        <w:t xml:space="preserve"> – On December 31, 2019, we entered into a new loan facility (“SNB Facility”) with Sterling National Bank, (“SNB”) which expires on December 30, 2022. The SNB Facility provides for a $16,000,000 revolving loan (“SNB revolving line of credit”) and a term loan (“SNB term loan”). The interest on the SNB Facility is more advantageous than that of our previous lending facility which we paid off with the proceeds from the SNB Facility.</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Increased Term Loan to Modernize Equipment</w:t>
      </w:r>
      <w:r>
        <w:rPr>
          <w:rFonts w:ascii="Arial" w:cs="Arial" w:eastAsia="Arial" w:hAnsi="Arial"/>
          <w:sz w:val="17"/>
          <w:szCs w:val="17"/>
          <w:color w:val="auto"/>
        </w:rPr>
        <w:t xml:space="preserve"> – On November 6, 2020, we amended the SNB Facility, increasing the Term Loan to $5,685,000. This allowed us to finance the acquisition of the new equipment at what we believe to be a reasonable interest rate.</w:t>
      </w:r>
    </w:p>
    <w:p>
      <w:pPr>
        <w:spacing w:after="0" w:line="14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repayment terms of the term loan were amended to provide monthly principal installments in the amount of $67,679 beginning on December 1, 2020, with a final payment of any unpaid balance of principal and interest payable on December 30, 2022. We paid an amendment fee of $20,000. Additionally, the date by which certain subordinated third-party notes were to be extended by was changed from September 30, 2020 to November 30, 2020. We caused all of these notes to be converted into common stock prior to December 31, 2020.</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formula to determine the amounts of revolving advances permitted to be borrowed under the SNB revolving line of credit is based on a percentage of eligible receivables and inventory (as defined in the SNB Facility).</w:t>
      </w:r>
    </w:p>
    <w:p>
      <w:pPr>
        <w:spacing w:after="0" w:line="17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For so long as the SNB term loan remains outstanding, if Excess Cash Flow (as defined) is a positive number for any fiscal year, beginning with the year ending December 31, 2020, we shall pay to SNB an amount equal to the lesser of (i) twenty-five percent (25%) of the Excess Cash Flow for such Fiscal Year and (ii) the outstanding principal balance of the term loan. Such payment shall be made to SNB and applied to the outstanding principal balance of the term loan, on or prior to the April 15 immediately following such Fiscal Year.</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June 14, 2021, we entered into the Second Amendment to the Loan and Security Agreement (“Second Amendment”). The purpose of the Second Amendment was to clarify the definition and calculation of Excess Cash Flow, and to confirm the extension of the due date for the payment of the Excess Cash Flow. The amount of the Excess Cash Flow payment for the year ended December 31, 2020 was calculated to be $558,750. Per the terms of the Second Amendment, the Excess Cash Flow is payable in three installments of $186,250 on each of June 15, 2021, June 30, 2021, and September 15, 2021. As of September 30, 2021, we paid the full amount of the Excess Cash Flow. Additionally, we paid an amendment fee of $10,000.</w:t>
      </w:r>
    </w:p>
    <w:p>
      <w:pPr>
        <w:spacing w:after="0" w:line="19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terms of the SNB Facility require that, among other things, we maintain a specified Fixed Charge Coverage Ratio of 1.25 to 1.00 at the end of each Fiscal Quarter beginning with the Fiscal Quarter ending March 31, 2020. In addition, we are limited in the amount of Capital Expenditures we can make. As of September 30, 2021, we were in compliance with all loan covenants. The SNB Facility also restricts the amount of dividends we may pay to our stockholders. Substantially all of our assets are pledged as collateral under the SNB Facility.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left="660"/>
        <w:spacing w:after="0" w:line="277" w:lineRule="auto"/>
        <w:rPr>
          <w:sz w:val="20"/>
          <w:szCs w:val="20"/>
          <w:color w:val="auto"/>
        </w:rPr>
      </w:pPr>
      <w:r>
        <w:rPr>
          <w:rFonts w:ascii="Arial" w:cs="Arial" w:eastAsia="Arial" w:hAnsi="Arial"/>
          <w:sz w:val="18"/>
          <w:szCs w:val="18"/>
          <w:color w:val="auto"/>
        </w:rPr>
        <w:t>As of September 30, 2021, our debt to SNB in the amount of $17,874,000 consisted of the SNB revolving line of credit note in the amount of $13,463,000 and the SNB term loan in the amount of $4,411,000.</w:t>
      </w:r>
    </w:p>
    <w:p>
      <w:pPr>
        <w:spacing w:after="0" w:line="170" w:lineRule="exact"/>
        <w:rPr>
          <w:sz w:val="20"/>
          <w:szCs w:val="20"/>
          <w:color w:val="auto"/>
        </w:rPr>
      </w:pPr>
    </w:p>
    <w:p>
      <w:pPr>
        <w:jc w:val="both"/>
        <w:ind w:left="980" w:hanging="324"/>
        <w:spacing w:after="0" w:line="30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Conversion and Extension of Subordinated Notes – During 2020, third party holders of convertible subordinated notes of the remaining principal balance plus accrued interest, converted these notes into common stock. In addition, the maturity date of related party convertible subordinated notes and subordinated notes payable in the aggregate amount of $6,012,000 plus $400,000 of accrued interest was extended until July 1, 2023, and we were relieved of the obligation to make any principal payments on these notes prior to maturity.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continue to believe our fiscal 2021 sales will be higher than the amount achieved in fiscal 2020, we believe our liquidity for the remainder of 2021 will continue to improve.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cash flow from operating, investing and financing activities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Cash (used in) provided by</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2,514,000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(3,184,000)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(983,000)</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(1,471,000)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(3,344,000)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(1,813,000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provided by in operating activities primarily consists of our net income of $21,000 adjusted for certain non-cash items and changes to working capital items.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nine months ended September 30, 2021 non-cash items of $2,829,000 consisted primarily of depreciation of property and equipment of $2,105,000, non-cash employee stock compensation expense of $361,000, amortization of right-of-use assets of $364,000 and non-cash directors’ compensation expense of $156,000 offset by $274,000 of non-cash income. The remaining non-cash items totaled $117,000.</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assets and liabilities used cash in the net amount of $336,000 consisting primarily of the net increases in accounts receivable and prepaid expenses in the amounts of $1,692,000 and $159,000, respectively and decreases in accounts payable and operating lease liabilities of $1,261,000, and $541,000, respectively, partially offset by a decrease in inventory, a decrease in other current assets and an increase in deferred revenue in the amounts of $2,761,000, $15,000, and $571,000,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consists of capital expenditures for 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nine months ended September 30, 2021, cash used in investing activities was $983,000. This was for the purchase of property and equipment.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September 30, 2021, cash used in financing activities consisted of net payments on our SNB revolving loan and term note in the amounts of $2,187,000 and $1,147,000, respectively and payments of $3,000 and $7,000 on our financing lease obligations and loan payable – financed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a company’s financial condition and results of operations and requires management’s most difficult, subjective or complex judgments, often as a result of the need to make estimates about the effect of matters that are inherently uncertain.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presented in accordance with U.S. GAAP, and all applicable U.S. GAAP accounting standards effective as of September 30, 2021 have been taken into consideration in preparing the condensed consolidated financial statements. The preparation of condensed consolidated financial statements requires estimates and assumptions that affect the reported amounts of assets, liabilities, revenues, expenses and related disclosures. Some of those estimates are subjective and complex, and, consequently, actual results could differ from those estimates. The following accounting policies and estimates have been highlighted as significant because changes to certain judgments and assumptions inherent in these policies could affect our condensed consolidated financial statements:</w:t>
      </w:r>
    </w:p>
    <w:p>
      <w:pPr>
        <w:spacing w:after="0" w:line="17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base our estimates, to the extent possible, on historical experience. Historical information is modified as appropriate based on current business factors and various assumptions that we believe are necessary to form a basis for making judgments about the carrying value of assets and liabilities. We evaluate our estimates on an on-going basis and make changes when necessary. Actual results could differ from our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Condensed Consolidated Financial Statements for a discussion of 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senior management is responsible for establishing and maintaining a system of disclosure controls and procedures, as defined in Rules 13a-15(e) and 15d-15(e) under the Securities Exchange Act of 1934, (the “Exchange Act”) designed to ensure that the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evaluated the effectiveness of the design and operation of our disclosure controls and procedures as of the end of the period covered by this Report under the supervision of and with the participation of management, including our Chief Executive Officer and our Chief Financial Officer. Based on that evaluation, our Chief Executive Officer and our Chief Financial Officer have concluded that as of the end of the period covered by this report, our disclosure controls and procedures were effective.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which is the subject of this report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Prospective investors are encouraged to consider the risks described in our 2020 Form 10-K, our Management’s Discussion and Analysis of Financial Condition and Results of Operations contained in this Report and other information publicly disclosed or contained in documents we file with the Securities and Exchange Commission before purchasing our securities. The following risk factor supplements the risk factors described in our 2020 Form 10-K and should be read in conjunction with the other risk factors presented in our Annual Report which are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 -19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COVID-19 pandemic and the resulting macroeconomic disruptions have affected how we, our customers and our suppliers are operating our businesses and disrupted supply chains in various industries. The duration and extent to which this will impact our future results of operations and overall financial performance remains uncertain. Our operations have substantially returned to normal, nevertheless, any future disruption from COVID-19 or any other event which depresses macroeconomic results or disrupts supply chains, may materially impact our business and our consolidated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previously disclosed on our Exchange Act reports, we did not issue or sell any unregistered equity securities during the period covered by this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10"/>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Agreement and Plan of Merger dated July 29, 2013 between Air Industries Group, Inc. and Air Industries Group (incorporated herein by</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reference to Exhibit 2.1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Articles of Merger between Air Industries Group and Air Industries Group, Inc. filed with the Secretary of State of Nevada on August 28,</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2013 (incorporated herein by reference to Exhibit 3.2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Certificate of Merger between Air Industries Group and Air Industries Group, Inc. filed with the Secretary of State of Nevada on August</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w w:val="98"/>
              </w:rPr>
            </w:pPr>
            <w:hyperlink r:id="rId51">
              <w:r>
                <w:rPr>
                  <w:rFonts w:ascii="Arial" w:cs="Arial" w:eastAsia="Arial" w:hAnsi="Arial"/>
                  <w:sz w:val="18"/>
                  <w:szCs w:val="18"/>
                  <w:color w:val="0000EE"/>
                  <w:w w:val="98"/>
                </w:rPr>
                <w:t>29, 2013 (incorporated herein by reference to Exhibit 3.3 to the Company’s Current Report on 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Articles of Incorporation of Air Industries Group (incorporated herein by reference to Exhibit 3.1 to the Company’s Current Report on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Form 8-K filed August 30, 2013).</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7"/>
              </w:rPr>
            </w:pPr>
            <w:hyperlink r:id="rId53">
              <w:r>
                <w:rPr>
                  <w:rFonts w:ascii="Arial" w:cs="Arial" w:eastAsia="Arial" w:hAnsi="Arial"/>
                  <w:sz w:val="18"/>
                  <w:szCs w:val="18"/>
                  <w:color w:val="0000EE"/>
                  <w:w w:val="97"/>
                </w:rPr>
                <w:t>Certificate of Amendment increasing authorized shares of common stock to 60,000,000 shares (incorporated by reference to the</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Company’s Quarterly Report on Form 10-Q for the period ended June 30, 2019 filed on August 8, 2019).</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Amended and Restated By-Laws of the Company (incorporated herein by reference to Exhibit 3.2 to the Company’s Annual Report on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Form 10-K for the year ended December 31, 2014 filed on March 31, 2015).</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Certifications</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Certification of principal executive officer pursuant to Rule 13a-14 or Rule 15d-14 of Securities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Certification of principal financial officer pursuant to Rule 13a-14 or Rule 15d-14 of the Exchange Act of 1934.</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Certification of principal executive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Certification of principal financial officer pursuant to Section 906 of Sarbanes-Oxley Act of 2002 (18 U.S.C. Section 1350).</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XBRL Presentation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000" w:type="dxa"/>
            <w:vAlign w:val="bottom"/>
            <w:gridSpan w:val="10"/>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0"/>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5540" w:right="3420" w:hanging="5532"/>
        <w:spacing w:after="0" w:line="761" w:lineRule="auto"/>
        <w:tabs>
          <w:tab w:leader="none" w:pos="12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AIR INDUSTRIES GROUP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Michael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Recca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Luciano Melluzzo, certify that:</w:t>
      </w:r>
    </w:p>
    <w:p>
      <w:pPr>
        <w:spacing w:after="0" w:line="225" w:lineRule="exact"/>
        <w:rPr>
          <w:sz w:val="20"/>
          <w:szCs w:val="20"/>
          <w:color w:val="auto"/>
        </w:rPr>
      </w:pPr>
    </w:p>
    <w:p>
      <w:pPr>
        <w:ind w:left="520" w:hanging="188"/>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Recca, certify that:</w:t>
      </w:r>
    </w:p>
    <w:p>
      <w:pPr>
        <w:spacing w:after="0" w:line="225" w:lineRule="exact"/>
        <w:rPr>
          <w:sz w:val="20"/>
          <w:szCs w:val="20"/>
          <w:color w:val="auto"/>
        </w:rPr>
      </w:pPr>
    </w:p>
    <w:p>
      <w:pPr>
        <w:ind w:left="520" w:hanging="18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 Industries Group;</w:t>
      </w:r>
    </w:p>
    <w:p>
      <w:pPr>
        <w:spacing w:after="0" w:line="225" w:lineRule="exact"/>
        <w:rPr>
          <w:rFonts w:ascii="Arial" w:cs="Arial" w:eastAsia="Arial" w:hAnsi="Arial"/>
          <w:sz w:val="18"/>
          <w:szCs w:val="18"/>
          <w:color w:val="auto"/>
        </w:rPr>
      </w:pPr>
    </w:p>
    <w:p>
      <w:pPr>
        <w:ind w:firstLine="332"/>
        <w:spacing w:after="0" w:line="342" w:lineRule="auto"/>
        <w:tabs>
          <w:tab w:leader="none" w:pos="51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3" w:lineRule="auto"/>
        <w:tabs>
          <w:tab w:leader="none" w:pos="5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firstLine="332"/>
        <w:spacing w:after="0" w:line="308" w:lineRule="auto"/>
        <w:tabs>
          <w:tab w:leader="none" w:pos="5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8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September 30, 2021 as filed with the Securities and Exchange Commission (the “Report”), Luciano Melluzzo, Chief Executive Officer of the Company, does hereby certify, pursuant to Section 906 of the Sarbanes-Oxley Act of 2002 (18 U.S.C. ss. 1350), that:</w:t>
      </w:r>
    </w:p>
    <w:p>
      <w:pPr>
        <w:spacing w:after="0" w:line="184"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Luciano Melluzzo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Air Industries Group, a Nevada corporation (the “Company”), on Form 10-Q for the period ended September 30, 2021, as filed with the Securities and Exchange Commission (the “Report”), Michael E. Recca, Chief Financial Officer of the Company, does hereby certify, pursuant to Section 906 of the Sarbanes-Oxley Act of 2002 (18 U.S.C. ss. 1350), that:</w:t>
      </w:r>
    </w:p>
    <w:p>
      <w:pPr>
        <w:spacing w:after="0" w:line="184"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Recca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Air Industries Group and will be retained by Air Industries Group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49" Type="http://schemas.openxmlformats.org/officeDocument/2006/relationships/hyperlink" Target="http://www.sec.gov/Archives/edgar/data/1009891/000119380513001557/e611262_ex2-1.htm" TargetMode="External"/><Relationship Id="rId50" Type="http://schemas.openxmlformats.org/officeDocument/2006/relationships/hyperlink" Target="http://www.sec.gov/Archives/edgar/data/1009891/000119380513001557/e611262_ex3-2.htm" TargetMode="External"/><Relationship Id="rId51" Type="http://schemas.openxmlformats.org/officeDocument/2006/relationships/hyperlink" Target="http://www.sec.gov/Archives/edgar/data/1009891/000119380513001557/e611262_ex3-3.htm" TargetMode="External"/><Relationship Id="rId52" Type="http://schemas.openxmlformats.org/officeDocument/2006/relationships/hyperlink" Target="http://www.sec.gov/Archives/edgar/data/1009891/000119380513001557/e611262_ex3-1.htm" TargetMode="External"/><Relationship Id="rId53" Type="http://schemas.openxmlformats.org/officeDocument/2006/relationships/hyperlink" Target="http://www.sec.gov/Archives/edgar/data/1009891/000121390019014973/f10q0619ex3-5_airindustries.htm" TargetMode="External"/><Relationship Id="rId54" Type="http://schemas.openxmlformats.org/officeDocument/2006/relationships/hyperlink" Target="http://www.sec.gov/Archives/edgar/data/1009891/000119380515000450/e61348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2021-11-12T10:41:43Z</dcterms:created>
  <dcterms:modified xsi:type="dcterms:W3CDTF">2021-11-12T10:41:43Z</dcterms:modified>
</cp:coreProperties>
</file>