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062-8k_air.htm"/>
      <w:bookmarkStart w:id="1" w:name="ksea03030628k_air"/>
      <w:bookmarkEnd w:id="0"/>
      <w:bookmarkEnd w:id="1"/>
      <w:r>
        <w:rPr>
          <w:bdr w:val="single" w:sz="16" w:space="1" w:color="000000"/>
        </w:rPr>
        <w:t> </w:t>
      </w:r>
    </w:p>
    <w:p>
      <w:pPr>
        <w:pStyle w:val="TextBody"/>
        <w:bidi w:val="0"/>
        <w:jc w:val="center"/>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B_edei--DocumentType_c20260818__20"/>
      <w:bookmarkEnd w:id="2"/>
      <w:r>
        <w:rPr>
          <w:rFonts w:ascii="Times New Roman;Times;Serif" w:hAnsi="Times New Roman;Times;Serif"/>
          <w:b w:val="false"/>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August 18,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4" w:name="xdx_907_edei--EntityRegistrantName_c2026"/>
      <w:bookmarkEnd w:id="4"/>
      <w:r>
        <w:rPr>
          <w:rFonts w:ascii="Times New Roman;Times;Serif" w:hAnsi="Times New Roman;Times;Serif"/>
          <w:b w:val="false"/>
          <w:i w:val="false"/>
          <w:caps w:val="false"/>
          <w:smallCaps w:val="false"/>
          <w:sz w:val="20"/>
        </w:rPr>
        <w:t>AIR INDUSTRIES GROUP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90" w:type="dxa"/>
        <w:jc w:val="left"/>
        <w:tblInd w:w="0" w:type="dxa"/>
        <w:shd w:fill="FFFFFF" w:val="clear"/>
        <w:tblLayout w:type="fixed"/>
        <w:tblCellMar>
          <w:top w:w="0" w:type="dxa"/>
          <w:left w:w="0" w:type="dxa"/>
          <w:bottom w:w="28" w:type="dxa"/>
          <w:right w:w="0" w:type="dxa"/>
        </w:tblCellMar>
      </w:tblPr>
      <w:tblGrid>
        <w:gridCol w:w="1805"/>
        <w:gridCol w:w="60"/>
        <w:gridCol w:w="2090"/>
        <w:gridCol w:w="60"/>
        <w:gridCol w:w="1175"/>
      </w:tblGrid>
      <w:tr>
        <w:trPr/>
        <w:tc>
          <w:tcPr>
            <w:tcW w:w="180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6" w:name="xdx_90C_edei--EntityFileNumber_c20260818"/>
            <w:bookmarkEnd w:id="6"/>
            <w:r>
              <w:rPr>
                <w:rFonts w:ascii="Times New Roman;Times;Serif" w:hAnsi="Times New Roman;Times;Serif"/>
                <w:b/>
                <w:sz w:val="20"/>
              </w:rPr>
              <w:t>001-35927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80-0948413</w:t>
            </w:r>
          </w:p>
        </w:tc>
      </w:tr>
      <w:tr>
        <w:trPr/>
        <w:tc>
          <w:tcPr>
            <w:tcW w:w="18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 Number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3_edei--EntityAddressAddressLine1_"/>
      <w:bookmarkEnd w:id="8"/>
      <w:r>
        <w:rPr>
          <w:rFonts w:ascii="Times New Roman;Times;Serif" w:hAnsi="Times New Roman;Times;Serif"/>
          <w:b w:val="false"/>
          <w:i w:val="false"/>
          <w:caps w:val="false"/>
          <w:smallCaps w:val="false"/>
          <w:sz w:val="20"/>
        </w:rPr>
        <w:t xml:space="preserve">1460 Fifth Avenue, </w:t>
      </w:r>
      <w:bookmarkStart w:id="9" w:name="xdx_90B_edei--EntityAddressCityOrTown_c2"/>
      <w:bookmarkEnd w:id="9"/>
      <w:r>
        <w:rPr>
          <w:rFonts w:ascii="Times New Roman;Times;Serif" w:hAnsi="Times New Roman;Times;Serif"/>
          <w:b w:val="false"/>
          <w:i w:val="false"/>
          <w:caps w:val="false"/>
          <w:smallCaps w:val="false"/>
          <w:sz w:val="20"/>
        </w:rPr>
        <w:t xml:space="preserve">Bay Shore, </w:t>
      </w:r>
      <w:bookmarkStart w:id="10" w:name="xdx_900_edei--EntityAddressStateOrProvin"/>
      <w:bookmarkEnd w:id="10"/>
      <w:r>
        <w:rPr>
          <w:rFonts w:ascii="Times New Roman;Times;Serif" w:hAnsi="Times New Roman;Times;Serif"/>
          <w:b w:val="false"/>
          <w:i w:val="false"/>
          <w:caps w:val="false"/>
          <w:smallCaps w:val="false"/>
          <w:sz w:val="20"/>
        </w:rPr>
        <w:t xml:space="preserve">New York </w:t>
      </w:r>
      <w:bookmarkStart w:id="11" w:name="xdx_902_edei--EntityAddressPostalZipCode"/>
      <w:bookmarkEnd w:id="11"/>
      <w:r>
        <w:rPr>
          <w:rFonts w:ascii="Times New Roman;Times;Serif" w:hAnsi="Times New Roman;Times;Serif"/>
          <w:b w:val="false"/>
          <w:i w:val="false"/>
          <w:caps w:val="false"/>
          <w:smallCaps w:val="false"/>
          <w:sz w:val="20"/>
        </w:rPr>
        <w:t>11706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w:t>
      </w:r>
      <w:bookmarkStart w:id="12" w:name="xdx_90B_edei--CityAreaCode_c20260818__20"/>
      <w:bookmarkEnd w:id="12"/>
      <w:r>
        <w:rPr>
          <w:rFonts w:ascii="Times New Roman;Times;Serif" w:hAnsi="Times New Roman;Times;Serif"/>
          <w:b w:val="false"/>
          <w:i w:val="false"/>
          <w:caps w:val="false"/>
          <w:smallCaps w:val="false"/>
          <w:sz w:val="20"/>
        </w:rPr>
        <w:t xml:space="preserve">631) </w:t>
      </w:r>
      <w:bookmarkStart w:id="13" w:name="xdx_90E_edei--LocalPhoneNumber_c20260818"/>
      <w:bookmarkEnd w:id="13"/>
      <w:r>
        <w:rPr>
          <w:rFonts w:ascii="Times New Roman;Times;Serif" w:hAnsi="Times New Roman;Times;Serif"/>
          <w:b w:val="false"/>
          <w:i w:val="false"/>
          <w:caps w:val="false"/>
          <w:smallCaps w:val="false"/>
          <w:sz w:val="20"/>
        </w:rPr>
        <w:t>968-5000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E_edei--WrittenCommunications_c202"/>
            <w:bookmarkEnd w:id="14"/>
            <w:r>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9_edei--SolicitingMaterial_c202608"/>
            <w:bookmarkEnd w:id="15"/>
            <w:r>
              <w:rPr/>
              <w:t>☐</w:t>
            </w:r>
          </w:p>
        </w:tc>
        <w:tc>
          <w:tcPr>
            <w:tcW w:w="73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360" w:right="0" w:firstLine="36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C_edei--PreCommencementTenderOffer"/>
            <w:bookmarkEnd w:id="16"/>
            <w:r>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pPr>
            <w:bookmarkStart w:id="17" w:name="xdx_90C_edei--PreCommencementIssuerTende"/>
            <w:bookmarkEnd w:id="17"/>
            <w:r>
              <w:rPr/>
              <w:t>☐</w:t>
            </w:r>
          </w:p>
        </w:tc>
        <w:tc>
          <w:tcPr>
            <w:tcW w:w="900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190" w:type="dxa"/>
        <w:jc w:val="left"/>
        <w:tblInd w:w="0" w:type="dxa"/>
        <w:shd w:fill="FFFFFF" w:val="clear"/>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4_edei--Security12bTitle_c20260818"/>
            <w:bookmarkEnd w:id="18"/>
            <w:r>
              <w:rPr>
                <w:rFonts w:ascii="Times New Roman;Times;Serif" w:hAnsi="Times New Roman;Times;Serif"/>
                <w:sz w:val="20"/>
              </w:rPr>
              <w:t>Common Stock, par value $0.001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818__2"/>
            <w:bookmarkEnd w:id="19"/>
            <w:r>
              <w:rPr>
                <w:rFonts w:ascii="Times New Roman;Times;Serif" w:hAnsi="Times New Roman;Times;Serif"/>
                <w:sz w:val="20"/>
              </w:rPr>
              <w:t>AIRI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NYSE American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Definitive Material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we, Air Industries Group, entered into a Twelfth Amendment to our Loan and Security Agreement with Webster Bank (“Twelfth Amendment”). In the Twelfth Amendment Webster Bank extended the maturity date of the revolving credit and term loans under the Loan and Security Agreement to November 30, 2026. A copy of the Twelfth Amendment is annexed as Exhibit 10.1 and reference is made thereto for the complete terms and conditions of the Twelfth Amendment.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extension of the Loan and Security Agreement with Webster Bank, Michael Taglich and Robert Taglich, the holders of our subordinated notes, agreed to extend the maturity of such Notes until December 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815" w:type="dxa"/>
        <w:jc w:val="left"/>
        <w:tblInd w:w="0" w:type="dxa"/>
        <w:shd w:fill="FFFFFF" w:val="clear"/>
        <w:tblLayout w:type="fixed"/>
        <w:tblCellMar>
          <w:top w:w="0" w:type="dxa"/>
          <w:left w:w="0" w:type="dxa"/>
          <w:bottom w:w="28" w:type="dxa"/>
          <w:right w:w="0" w:type="dxa"/>
        </w:tblCellMar>
      </w:tblPr>
      <w:tblGrid>
        <w:gridCol w:w="995"/>
        <w:gridCol w:w="60"/>
        <w:gridCol w:w="7760"/>
      </w:tblGrid>
      <w:tr>
        <w:trPr/>
        <w:tc>
          <w:tcPr>
            <w:tcW w:w="99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6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60" w:type="dxa"/>
            <w:tcBorders/>
            <w:shd w:fill="CCEEFF" w:val="clear"/>
            <w:tcMar>
              <w:bottom w:w="0" w:type="dxa"/>
            </w:tcMar>
            <w:vAlign w:val="center"/>
          </w:tcPr>
          <w:p>
            <w:pPr>
              <w:pStyle w:val="TableContents"/>
              <w:bidi w:val="0"/>
              <w:spacing w:before="0" w:after="283"/>
              <w:jc w:val="both"/>
              <w:rPr/>
            </w:pPr>
            <w:hyperlink w:anchor="ea030306201ex10-1.htm">
              <w:r>
                <w:rPr>
                  <w:rStyle w:val="InternetLink"/>
                  <w:rFonts w:ascii="Times New Roman;Times;Serif" w:hAnsi="Times New Roman;Times;Serif"/>
                  <w:sz w:val="20"/>
                </w:rPr>
                <w:t>Twelfth Amendment to Loan and Security Agreement with Webster Bank, National Association</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24,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090" w:type="dxa"/>
        <w:jc w:val="left"/>
        <w:tblInd w:w="0" w:type="dxa"/>
        <w:shd w:fill="FFFFFF" w:val="clear"/>
        <w:tblLayout w:type="fixed"/>
        <w:tblCellMar>
          <w:top w:w="0" w:type="dxa"/>
          <w:left w:w="0" w:type="dxa"/>
          <w:bottom w:w="0" w:type="dxa"/>
          <w:right w:w="0" w:type="dxa"/>
        </w:tblCellMar>
      </w:tblPr>
      <w:tblGrid>
        <w:gridCol w:w="75"/>
        <w:gridCol w:w="320"/>
        <w:gridCol w:w="3695"/>
      </w:tblGrid>
      <w:tr>
        <w:trPr/>
        <w:tc>
          <w:tcPr>
            <w:tcW w:w="75" w:type="dxa"/>
            <w:tcBorders/>
            <w:shd w:fill="FFFFFF" w:val="clear"/>
            <w:vAlign w:val="center"/>
          </w:tcPr>
          <w:p>
            <w:pPr>
              <w:pStyle w:val="TableContents"/>
              <w:bidi w:val="0"/>
              <w:spacing w:before="0" w:after="283"/>
              <w:jc w:val="left"/>
              <w:rPr/>
            </w:pPr>
            <w:r>
              <w:rPr/>
              <w:t> </w:t>
            </w:r>
          </w:p>
        </w:tc>
        <w:tc>
          <w:tcPr>
            <w:tcW w:w="401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69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Glassman</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Glassman</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Executive Officer and President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a030306201ex10-1.htm"/>
      <w:bookmarkStart w:id="23" w:name="ksea030306201ex101"/>
      <w:bookmarkEnd w:id="22"/>
      <w:bookmarkEnd w:id="23"/>
      <w:r>
        <w:rPr>
          <w:b/>
        </w:rPr>
        <w:t>Exhibit 10.1</w:t>
      </w:r>
      <w:r>
        <w:br w:type="page"/>
      </w:r>
    </w:p>
    <w:p>
      <w:pPr>
        <w:pStyle w:val="TextBody"/>
        <w:bidi w:val="0"/>
        <w:spacing w:before="0" w:after="283"/>
        <w:jc w:val="left"/>
        <w:rPr/>
      </w:pPr>
      <w:r>
        <w:rPr/>
        <w:t> </w:t>
      </w:r>
    </w:p>
    <w:p>
      <w:pPr>
        <w:pStyle w:val="TextBody"/>
        <w:bidi w:val="0"/>
        <w:spacing w:before="0" w:after="0"/>
        <w:jc w:val="center"/>
        <w:rPr>
          <w:b/>
          <w:u w:val="single"/>
        </w:rPr>
      </w:pPr>
      <w:r>
        <w:rPr>
          <w:b/>
          <w:u w:val="single"/>
        </w:rPr>
        <w:t>TWELFTH AMENDMENT 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LOAN AND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TWELFTH AMENDMENT TO LOAN AND SECURITY AGREEMENT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dated August 18, 2026, and is made by and among (a) AIR INDUSTRIES MACHINING, CORP., a New York corporation (“</w:t>
      </w:r>
      <w:r>
        <w:rPr>
          <w:rFonts w:ascii="Times New Roman;Times;Serif" w:hAnsi="Times New Roman;Times;Serif"/>
          <w:b w:val="false"/>
          <w:i w:val="false"/>
          <w:caps w:val="false"/>
          <w:smallCaps w:val="false"/>
          <w:sz w:val="20"/>
          <w:u w:val="single"/>
        </w:rPr>
        <w:t>AIM</w:t>
      </w:r>
      <w:r>
        <w:rPr>
          <w:rFonts w:ascii="Times New Roman;Times;Serif" w:hAnsi="Times New Roman;Times;Serif"/>
          <w:b w:val="false"/>
          <w:i w:val="false"/>
          <w:caps w:val="false"/>
          <w:smallCaps w:val="false"/>
          <w:sz w:val="20"/>
        </w:rPr>
        <w:t>”), NASSAU TOOL WORKS, INC., a New York corporation (“</w:t>
      </w:r>
      <w:r>
        <w:rPr>
          <w:rFonts w:ascii="Times New Roman;Times;Serif" w:hAnsi="Times New Roman;Times;Serif"/>
          <w:b w:val="false"/>
          <w:i w:val="false"/>
          <w:caps w:val="false"/>
          <w:smallCaps w:val="false"/>
          <w:sz w:val="20"/>
          <w:u w:val="single"/>
        </w:rPr>
        <w:t>NTW</w:t>
      </w:r>
      <w:r>
        <w:rPr>
          <w:rFonts w:ascii="Times New Roman;Times;Serif" w:hAnsi="Times New Roman;Times;Serif"/>
          <w:b w:val="false"/>
          <w:i w:val="false"/>
          <w:caps w:val="false"/>
          <w:smallCaps w:val="false"/>
          <w:sz w:val="20"/>
        </w:rPr>
        <w:t>”), THE STERLING ENGINEERING CORPORATION, a Connecticut corporation (“</w:t>
      </w:r>
      <w:r>
        <w:rPr>
          <w:rFonts w:ascii="Times New Roman;Times;Serif" w:hAnsi="Times New Roman;Times;Serif"/>
          <w:b w:val="false"/>
          <w:i w:val="false"/>
          <w:caps w:val="false"/>
          <w:smallCaps w:val="false"/>
          <w:sz w:val="20"/>
          <w:u w:val="single"/>
        </w:rPr>
        <w:t>Engineering</w:t>
      </w:r>
      <w:r>
        <w:rPr>
          <w:rFonts w:ascii="Times New Roman;Times;Serif" w:hAnsi="Times New Roman;Times;Serif"/>
          <w:b w:val="false"/>
          <w:i w:val="false"/>
          <w:caps w:val="false"/>
          <w:smallCaps w:val="false"/>
          <w:sz w:val="20"/>
        </w:rPr>
        <w:t>”, and together with AIM and NTW, individually,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(b) AIR INDUSTRIES GROUP, a Nevada corporation (together with its successors and permitted assigns,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AIR REALTY GROUP, LLC, a Connecticut limited liability company (“</w:t>
      </w:r>
      <w:r>
        <w:rPr>
          <w:rFonts w:ascii="Times New Roman;Times;Serif" w:hAnsi="Times New Roman;Times;Serif"/>
          <w:b w:val="false"/>
          <w:i w:val="false"/>
          <w:caps w:val="false"/>
          <w:smallCaps w:val="false"/>
          <w:sz w:val="20"/>
          <w:u w:val="single"/>
        </w:rPr>
        <w:t>Realty</w:t>
      </w:r>
      <w:r>
        <w:rPr>
          <w:rFonts w:ascii="Times New Roman;Times;Serif" w:hAnsi="Times New Roman;Times;Serif"/>
          <w:b w:val="false"/>
          <w:i w:val="false"/>
          <w:caps w:val="false"/>
          <w:smallCaps w:val="false"/>
          <w:sz w:val="20"/>
        </w:rPr>
        <w:t>”, and together with Parent,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WEBSTER BANK, NATIONAL ASSOCIATION, a national banking association (successor by merger to Sterling National Bank), (together with its successors and permitted assigns,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that certain Loan and Security Agreement, dated as of December 31, 2019, as amended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by and among Borrowers, Guarantor, the other Credit Parties thereto, and Lender, Lender has agreed to make certain financial accommodations available to Borrowers from time to time pursuant to the terms and conditions thereof (capitalized terms used herein and not otherwise defined herein shall have the meanings assigned to such terms in the Loan Agreement,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have requested that Lender make certain amendments to the Loan Agreement, pursuant to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contained herein and for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 to Loan Agreement</w:t>
      </w:r>
      <w:r>
        <w:rPr>
          <w:rFonts w:ascii="Times New Roman;Times;Serif" w:hAnsi="Times New Roman;Times;Serif"/>
          <w:b w:val="false"/>
          <w:i w:val="false"/>
          <w:caps w:val="false"/>
          <w:smallCaps w:val="false"/>
          <w:sz w:val="20"/>
        </w:rPr>
        <w:t>. As of the Twelfth Amendment Effective Date, the Loan Agreement is amended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1.1. The following definitions set forth in Section 1.1 of the Loan Agreement are amended and restated in their entirety to read as follows: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November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No Other Changes</w:t>
      </w:r>
      <w:r>
        <w:rPr>
          <w:rFonts w:ascii="Times New Roman;Times;Serif" w:hAnsi="Times New Roman;Times;Serif"/>
          <w:b w:val="false"/>
          <w:i w:val="false"/>
          <w:caps w:val="false"/>
          <w:smallCaps w:val="false"/>
          <w:sz w:val="20"/>
        </w:rPr>
        <w:t>. Except as explicitly amended by this Amendment, all of the terms and conditions of the Loan Agreement shall remain in full force and effect and shall apply to any Loan made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In consideration of Lender’s agreement to enter into this Amendment, Borrowers shall pay to Lender a non-refundable amendment fee in an amount equal to $25,000 (the “</w:t>
      </w: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The Amendment Fee is fully earned as of the Twelfth Amendment Effective Date, and shall be payable at the execution and delivery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Amendment shall be effective on the date (such date, the “</w:t>
      </w:r>
      <w:r>
        <w:rPr>
          <w:rFonts w:ascii="Times New Roman;Times;Serif" w:hAnsi="Times New Roman;Times;Serif"/>
          <w:b w:val="false"/>
          <w:i w:val="false"/>
          <w:caps w:val="false"/>
          <w:smallCaps w:val="false"/>
          <w:sz w:val="20"/>
          <w:u w:val="single"/>
        </w:rPr>
        <w:t>Twelfth Amendment Effective Date</w:t>
      </w:r>
      <w:r>
        <w:rPr>
          <w:rFonts w:ascii="Times New Roman;Times;Serif" w:hAnsi="Times New Roman;Times;Serif"/>
          <w:b w:val="false"/>
          <w:i w:val="false"/>
          <w:caps w:val="false"/>
          <w:smallCaps w:val="false"/>
          <w:sz w:val="20"/>
        </w:rPr>
        <w:t>”) that each of the following conditions have been satisfied, in form and substance satisfactory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received a fully executed copy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received a copy of the resolutions or equivalent action, in form and substance reasonably satisfactory to the Lender, of the Board of Directors or equivalent authorizing body of Borrowers authorizing, as applicable, the execution, delivery of this Amendment and the performance of this Amendment, certified by the Secretary, an Assistant Secretary or other authorized representatives of Borrowers as of the Twelfth Amendment Effective Date, which certificate shall state that the resolutions or other action hereby certified have not been amended, modified (except as any later such resolution or other action may modify any earlier such resolution or other action), revoked or rescinded and are in full force and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Lender shall have received the Amendment Fee set forth in Section 4 above and Borrowers shall have paid or cause to be paid all fees and expenses required to be paid in accordance with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Borrowers hereby represent and warrant to Lender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has all requisite power and authority to execute this Amendment and any other agreements or instruments required hereunder and to perform all of its obligations hereunder, and this Amendment and all such other agreements and instruments have been duly executed and delivered by each Borrower and constitute the legal, valid and binding obligation of Borrowers, enforceable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each Borrower of this Amendment and any other agreements or instruments required hereunder have been duly authorized by all necessary corporate action and do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any Borrower, or the certificate of formation, articles of incorporation, operating agreement, or by-laws of any Borrower, or (iii) result in a breach of or constitute a default under any indenture or loan or credit agreement or any other agreement, lease or instrument to which any Borrower is a party or by which it or its properties may be bound or affected.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the representations and warranties contained in the Loan Agreement are correct on and as of the date hereof as though made on and as of such date, except to the extent that such representations and warranties relate solely to an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giving effect to this Amendment and the transactions contemplated hereby, no Default or Event of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All references in the Loan Agreement to “this Agreement” shall be deemed to refer to the Loan Agreement as amended hereby; and any and all references in the Loan Documents to the Loan Agreement shall be deemed to refer to the Loan Agreement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The execution of this Amendment and the acceptance of all other agreements and instruments related hereto shall not be deemed to be a waiver of any Default or Event of Default under the Loan Agreement or a waiver of any breach, default or event of default under any Loan Document or other document held by Lender, whether or not known to Lender and whether or not existing on the date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Each Credit Party hereby absolutely and unconditionally releases and forever discharges Lender, and any and all participants, parent corporations, subsidiary corporations, affiliated corporations, insurers, indemnitors, successors and assigns thereof, together with all of the present and former directors, officers, agents and employees of any of the foregoing, from any and all claims, demands or causes of action of any kind, nature or description, whether arising in law or equity or upon contract or tort or under any state or federal law or otherwise, such Credit Party has had, now has or has made claim to have against any such person for or by reason of any act, omission, matter, cause or thing whatsoever relating to any Loan Document arising from the beginning of time to and including the date of this Amendment, whether such claims, demands and causes of action are matured or unmatured or known or unknown.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Borrowers hereby reaffirms their agreement under the Loan Agreement to pay or reimburse Lender on demand for all costs and expenses incurred by Lender in connection with the Loan Documents, including without limitation all reasonable fees and disbursements of legal counsel. Without limiting the generality of the foregoing, Borrowers specifically agree to pay all fees and disbursements of counsel to Lender for the services performed by such counsel in connection with the preparation of this Amendment and the documents and instruments incidental hereto. Borrowers hereby agree that Lender may, at any time or from time to time in its sole discretion and without further authorization by Borrowers, make a loan to the Borrowers under the Loan Agreement, or apply the proceeds of any loan, for the purpose of paying any such fees, disbursements, and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This Amendment may be executed in any number of counterparts, each of which shall be deemed to be an original, but such counterparts shall, together, constitute only one instrument. Delivery of an executed counterpart of a signature page of this Amendment will be as effective as delivery of a manually executed counterpart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are for convenience of reference only, and are not part of, and are not to be taken into consideration in interpreting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rights and obligations hereunder of each of the parties hereto shall be governed by and interpreted and determined in accordance with the laws of the State of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1850"/>
        <w:gridCol w:w="376"/>
        <w:gridCol w:w="732"/>
        <w:gridCol w:w="4476"/>
      </w:tblGrid>
      <w:tr>
        <w:trPr/>
        <w:tc>
          <w:tcPr>
            <w:tcW w:w="1850" w:type="dxa"/>
            <w:tcBorders/>
            <w:vAlign w:val="center"/>
          </w:tcPr>
          <w:p>
            <w:pPr>
              <w:pStyle w:val="TableContents"/>
              <w:bidi w:val="0"/>
              <w:spacing w:before="0" w:after="283"/>
              <w:jc w:val="left"/>
              <w:rPr>
                <w:b/>
              </w:rPr>
            </w:pPr>
            <w:r>
              <w:rPr>
                <w:b/>
              </w:rPr>
              <w:t>BORROWERS:</w:t>
            </w:r>
          </w:p>
        </w:tc>
        <w:tc>
          <w:tcPr>
            <w:tcW w:w="5584" w:type="dxa"/>
            <w:gridSpan w:val="3"/>
            <w:tcBorders/>
            <w:vAlign w:val="center"/>
          </w:tcPr>
          <w:p>
            <w:pPr>
              <w:pStyle w:val="TableContents"/>
              <w:bidi w:val="0"/>
              <w:spacing w:before="0" w:after="283"/>
              <w:jc w:val="left"/>
              <w:rPr>
                <w:b/>
              </w:rPr>
            </w:pPr>
            <w:r>
              <w:rPr>
                <w:b/>
              </w:rPr>
              <w:t>AIR INDUSTRIES MACHINING, CORP.</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5208"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Name:</w:t>
            </w:r>
          </w:p>
        </w:tc>
        <w:tc>
          <w:tcPr>
            <w:tcW w:w="4476" w:type="dxa"/>
            <w:tcBorders/>
            <w:vAlign w:val="center"/>
          </w:tcPr>
          <w:p>
            <w:pPr>
              <w:pStyle w:val="TableContents"/>
              <w:bidi w:val="0"/>
              <w:spacing w:before="0" w:after="283"/>
              <w:jc w:val="left"/>
              <w:rPr/>
            </w:pPr>
            <w:r>
              <w:rPr/>
              <w:t>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Title:</w:t>
            </w:r>
          </w:p>
        </w:tc>
        <w:tc>
          <w:tcPr>
            <w:tcW w:w="4476" w:type="dxa"/>
            <w:tcBorders/>
            <w:vAlign w:val="center"/>
          </w:tcPr>
          <w:p>
            <w:pPr>
              <w:pStyle w:val="TableContents"/>
              <w:bidi w:val="0"/>
              <w:spacing w:before="0" w:after="283"/>
              <w:jc w:val="left"/>
              <w:rPr/>
            </w:pPr>
            <w:r>
              <w:rPr/>
              <w:t>Acting Chief Executive Officer and President</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b/>
              </w:rPr>
            </w:pPr>
            <w:r>
              <w:rPr>
                <w:b/>
              </w:rPr>
              <w:t>NASSAU TOOL WORKS, INC.</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5208"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Name:</w:t>
            </w:r>
          </w:p>
        </w:tc>
        <w:tc>
          <w:tcPr>
            <w:tcW w:w="4476" w:type="dxa"/>
            <w:tcBorders/>
            <w:vAlign w:val="center"/>
          </w:tcPr>
          <w:p>
            <w:pPr>
              <w:pStyle w:val="TableContents"/>
              <w:bidi w:val="0"/>
              <w:spacing w:before="0" w:after="283"/>
              <w:jc w:val="left"/>
              <w:rPr/>
            </w:pPr>
            <w:r>
              <w:rPr/>
              <w:t>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Title:</w:t>
            </w:r>
          </w:p>
        </w:tc>
        <w:tc>
          <w:tcPr>
            <w:tcW w:w="4476" w:type="dxa"/>
            <w:tcBorders/>
            <w:vAlign w:val="center"/>
          </w:tcPr>
          <w:p>
            <w:pPr>
              <w:pStyle w:val="TableContents"/>
              <w:bidi w:val="0"/>
              <w:spacing w:before="0" w:after="283"/>
              <w:jc w:val="left"/>
              <w:rPr/>
            </w:pPr>
            <w:r>
              <w:rPr/>
              <w:t>Acting Chief Executive Officer and President</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b/>
              </w:rPr>
            </w:pPr>
            <w:r>
              <w:rPr>
                <w:b/>
              </w:rPr>
              <w:t>THE STERLING ENGINEERING CORPORATION</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5208"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Name:</w:t>
            </w:r>
          </w:p>
        </w:tc>
        <w:tc>
          <w:tcPr>
            <w:tcW w:w="4476" w:type="dxa"/>
            <w:tcBorders/>
            <w:vAlign w:val="center"/>
          </w:tcPr>
          <w:p>
            <w:pPr>
              <w:pStyle w:val="TableContents"/>
              <w:bidi w:val="0"/>
              <w:spacing w:before="0" w:after="283"/>
              <w:jc w:val="left"/>
              <w:rPr/>
            </w:pPr>
            <w:r>
              <w:rPr/>
              <w:t>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Title:</w:t>
            </w:r>
          </w:p>
        </w:tc>
        <w:tc>
          <w:tcPr>
            <w:tcW w:w="4476" w:type="dxa"/>
            <w:tcBorders/>
            <w:vAlign w:val="center"/>
          </w:tcPr>
          <w:p>
            <w:pPr>
              <w:pStyle w:val="TableContents"/>
              <w:bidi w:val="0"/>
              <w:spacing w:before="0" w:after="283"/>
              <w:jc w:val="left"/>
              <w:rPr/>
            </w:pPr>
            <w:r>
              <w:rPr/>
              <w:t>Acting Chief Executive Officer and President</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b/>
              </w:rPr>
            </w:pPr>
            <w:r>
              <w:rPr>
                <w:b/>
              </w:rPr>
              <w:t>GUARANTORS:</w:t>
            </w:r>
          </w:p>
        </w:tc>
        <w:tc>
          <w:tcPr>
            <w:tcW w:w="5584" w:type="dxa"/>
            <w:gridSpan w:val="3"/>
            <w:tcBorders/>
            <w:vAlign w:val="center"/>
          </w:tcPr>
          <w:p>
            <w:pPr>
              <w:pStyle w:val="TableContents"/>
              <w:bidi w:val="0"/>
              <w:spacing w:before="0" w:after="283"/>
              <w:jc w:val="left"/>
              <w:rPr>
                <w:b/>
              </w:rPr>
            </w:pPr>
            <w:r>
              <w:rPr>
                <w:b/>
              </w:rPr>
              <w:t>AIR INDUSTRIES GROUP,</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b/>
              </w:rPr>
            </w:pPr>
            <w:r>
              <w:rPr>
                <w:b/>
              </w:rPr>
              <w:t>AIR REALTY GROUP, LLC</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5208" w:type="dxa"/>
            <w:gridSpan w:val="2"/>
            <w:tcBorders>
              <w:bottom w:val="single" w:sz="12" w:space="0" w:color="000000"/>
            </w:tcBorders>
            <w:tcMar>
              <w:bottom w:w="28" w:type="dxa"/>
            </w:tcMar>
            <w:vAlign w:val="center"/>
          </w:tcPr>
          <w:p>
            <w:pPr>
              <w:pStyle w:val="TableContents"/>
              <w:bidi w:val="0"/>
              <w:spacing w:before="0" w:after="283"/>
              <w:jc w:val="left"/>
              <w:rPr/>
            </w:pPr>
            <w:r>
              <w:rPr/>
              <w:t>/s/ 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Name:</w:t>
            </w:r>
          </w:p>
        </w:tc>
        <w:tc>
          <w:tcPr>
            <w:tcW w:w="4476" w:type="dxa"/>
            <w:tcBorders/>
            <w:vAlign w:val="center"/>
          </w:tcPr>
          <w:p>
            <w:pPr>
              <w:pStyle w:val="TableContents"/>
              <w:bidi w:val="0"/>
              <w:spacing w:before="0" w:after="283"/>
              <w:jc w:val="left"/>
              <w:rPr/>
            </w:pPr>
            <w:r>
              <w:rPr/>
              <w:t>Scott Glassman</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Title:</w:t>
            </w:r>
          </w:p>
        </w:tc>
        <w:tc>
          <w:tcPr>
            <w:tcW w:w="4476" w:type="dxa"/>
            <w:tcBorders/>
            <w:vAlign w:val="center"/>
          </w:tcPr>
          <w:p>
            <w:pPr>
              <w:pStyle w:val="TableContents"/>
              <w:bidi w:val="0"/>
              <w:spacing w:before="0" w:after="283"/>
              <w:jc w:val="left"/>
              <w:rPr/>
            </w:pPr>
            <w:r>
              <w:rPr/>
              <w:t>Acting Chief Executive Officer and President</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b/>
              </w:rPr>
            </w:pPr>
            <w:r>
              <w:rPr>
                <w:b/>
              </w:rPr>
              <w:t>WEBSTER BANK, NATIONAL ASSOCIATION</w:t>
            </w:r>
          </w:p>
        </w:tc>
      </w:tr>
      <w:tr>
        <w:trPr/>
        <w:tc>
          <w:tcPr>
            <w:tcW w:w="185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By:</w:t>
            </w:r>
          </w:p>
        </w:tc>
        <w:tc>
          <w:tcPr>
            <w:tcW w:w="5208" w:type="dxa"/>
            <w:gridSpan w:val="2"/>
            <w:tcBorders>
              <w:bottom w:val="single" w:sz="12" w:space="0" w:color="000000"/>
            </w:tcBorders>
            <w:tcMar>
              <w:bottom w:w="28" w:type="dxa"/>
            </w:tcMar>
            <w:vAlign w:val="center"/>
          </w:tcPr>
          <w:p>
            <w:pPr>
              <w:pStyle w:val="TableContents"/>
              <w:bidi w:val="0"/>
              <w:spacing w:before="0" w:after="283"/>
              <w:jc w:val="left"/>
              <w:rPr/>
            </w:pPr>
            <w:r>
              <w:rPr/>
              <w:t>/s/ Andrew Bella</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Name: </w:t>
            </w:r>
          </w:p>
        </w:tc>
        <w:tc>
          <w:tcPr>
            <w:tcW w:w="4476" w:type="dxa"/>
            <w:tcBorders/>
            <w:vAlign w:val="center"/>
          </w:tcPr>
          <w:p>
            <w:pPr>
              <w:pStyle w:val="TableContents"/>
              <w:bidi w:val="0"/>
              <w:spacing w:before="0" w:after="283"/>
              <w:jc w:val="left"/>
              <w:rPr/>
            </w:pPr>
            <w:r>
              <w:rPr/>
              <w:t>Andrew Bella</w:t>
            </w:r>
          </w:p>
        </w:tc>
      </w:tr>
      <w:tr>
        <w:trPr/>
        <w:tc>
          <w:tcPr>
            <w:tcW w:w="185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Title:</w:t>
            </w:r>
          </w:p>
        </w:tc>
        <w:tc>
          <w:tcPr>
            <w:tcW w:w="4476" w:type="dxa"/>
            <w:tcBorders/>
            <w:vAlign w:val="center"/>
          </w:tcPr>
          <w:p>
            <w:pPr>
              <w:pStyle w:val="TableContents"/>
              <w:bidi w:val="0"/>
              <w:spacing w:before="0" w:after="283"/>
              <w:jc w:val="left"/>
              <w:rPr/>
            </w:pPr>
            <w:r>
              <w:rPr/>
              <w:t>Senior 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Twelfth Amendment to Loan and Security Agreement (Webster/Air Industries)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2129</Words>
  <Characters>11497</Characters>
  <CharactersWithSpaces>13642</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