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PORCELAIN MICHAEL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11147 GLEN ORCHARD LN</w:t>
                  </w:r>
                </w:p>
              </w:tc>
            </w:tr>
            <w:tr>
              <w:trPr/>
              <w:tc>
                <w:tcPr>
                  <w:tcW w:w="345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BOYNTON BEACH</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33473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AIR INDUSTRIES GROUP</w:t>
              </w:r>
            </w:hyperlink>
            <w:r>
              <w:rPr/>
              <w:t xml:space="preserve"> [ </w:t>
            </w:r>
            <w:r>
              <w:rPr>
                <w:rFonts w:ascii="Times;serif" w:hAnsi="Times;serif"/>
                <w:color w:val="0000FF"/>
                <w:sz w:val="24"/>
                <w:shd w:fill="FFFFFF" w:val="clear"/>
              </w:rPr>
              <w:t>AIRI</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08/27/2026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67"/>
        <w:gridCol w:w="903"/>
        <w:gridCol w:w="772"/>
        <w:gridCol w:w="600"/>
        <w:gridCol w:w="352"/>
        <w:gridCol w:w="857"/>
        <w:gridCol w:w="463"/>
        <w:gridCol w:w="677"/>
        <w:gridCol w:w="1178"/>
        <w:gridCol w:w="1008"/>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9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08/27/2026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5,523</w:t>
            </w:r>
          </w:p>
        </w:tc>
        <w:tc>
          <w:tcPr>
            <w:tcW w:w="4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2.59</w:t>
            </w:r>
          </w:p>
        </w:tc>
        <w:tc>
          <w:tcPr>
            <w:tcW w:w="11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81,274</w:t>
            </w:r>
          </w:p>
        </w:tc>
        <w:tc>
          <w:tcPr>
            <w:tcW w:w="100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08"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400"/>
        <w:gridCol w:w="401"/>
        <w:gridCol w:w="906"/>
        <w:gridCol w:w="801"/>
        <w:gridCol w:w="891"/>
        <w:gridCol w:w="801"/>
        <w:gridCol w:w="801"/>
        <w:gridCol w:w="936"/>
        <w:gridCol w:w="831"/>
        <w:gridCol w:w="846"/>
      </w:tblGrid>
      <w:tr>
        <w:trPr>
          <w:tblHeader w:val="true"/>
        </w:trPr>
        <w:tc>
          <w:tcPr>
            <w:tcW w:w="1200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60,791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60,791</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11/30/2030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3.75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08/31/2029</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05/31/2028</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3.43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06/30/2028</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2,160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2,160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8.4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04/30/2027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13.2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12/31/2027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23.8</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12/31/2026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Grant pursuant to equity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restricted stock unit represents the right to receive, at settlement, one share of common stock. The RSUs vested upon grant and shall be settled on the later of: (A) the first anniversary of the Award Date, and (B) the occurrence of a Change in Control, which for purposes of this Award Agreement, must constitute an event described in Treasury Regulation Section 1.409A-3(a)(5); provided, however, that if the event in (B) has not occurred by the date that is the eighteen (18) month anniversary of the Award Date, the vested RSUs shall be settled on the date that is the eighteen (18) month anniversary of the Award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Exercisable in full.</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Michael D. Porcelain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08/31/2026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10707" TargetMode="External"/><Relationship Id="rId5" Type="http://schemas.openxmlformats.org/officeDocument/2006/relationships/hyperlink" Target="http://www.sec.gov/cgi-bin/browse-edgar?action=getcompany&amp;CIK=000100989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760</Words>
  <Characters>4033</Characters>
  <CharactersWithSpaces>4661</CharactersWithSpaces>
  <Paragraphs>160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