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8,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 Industries Group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6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98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001-35927</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80-0948413</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gridSpan w:val="3"/>
          </w:tcPr>
          <w:p>
            <w:pPr>
              <w:jc w:val="right"/>
              <w:ind w:right="760"/>
              <w:spacing w:after="0" w:line="194" w:lineRule="exact"/>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6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9"/>
        </w:trPr>
        <w:tc>
          <w:tcPr>
            <w:tcW w:w="4460" w:type="dxa"/>
            <w:vAlign w:val="bottom"/>
            <w:tcBorders>
              <w:bottom w:val="single" w:sz="8" w:color="auto"/>
            </w:tcBorders>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1460 Fifth Avenue, Bay Shore, New York</w:t>
            </w:r>
          </w:p>
        </w:tc>
        <w:tc>
          <w:tcPr>
            <w:tcW w:w="10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11706</w:t>
            </w:r>
          </w:p>
        </w:tc>
      </w:tr>
      <w:tr>
        <w:trPr>
          <w:trHeight w:val="238"/>
        </w:trPr>
        <w:tc>
          <w:tcPr>
            <w:tcW w:w="446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9"/>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(631) 968-5000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AIRI</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Merger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8, 2026, Air Industries Group (“</w:t>
      </w:r>
      <w:r>
        <w:rPr>
          <w:rFonts w:ascii="Times New Roman" w:cs="Times New Roman" w:eastAsia="Times New Roman" w:hAnsi="Times New Roman"/>
          <w:sz w:val="18"/>
          <w:szCs w:val="18"/>
          <w:u w:val="single" w:color="auto"/>
          <w:color w:val="auto"/>
        </w:rPr>
        <w:t>AIR</w:t>
      </w:r>
      <w:r>
        <w:rPr>
          <w:rFonts w:ascii="Times New Roman" w:cs="Times New Roman" w:eastAsia="Times New Roman" w:hAnsi="Times New Roman"/>
          <w:sz w:val="18"/>
          <w:szCs w:val="18"/>
          <w:color w:val="auto"/>
        </w:rPr>
        <w:t>”) entered into an amendment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Agreement and Plan of Merger, dated as of February 16, 2026, among Tenax Aerospace Acquisition, LLC (“</w:t>
      </w:r>
      <w:r>
        <w:rPr>
          <w:rFonts w:ascii="Times New Roman" w:cs="Times New Roman" w:eastAsia="Times New Roman" w:hAnsi="Times New Roman"/>
          <w:sz w:val="18"/>
          <w:szCs w:val="18"/>
          <w:u w:val="single" w:color="auto"/>
          <w:color w:val="auto"/>
        </w:rPr>
        <w:t>Tenax</w:t>
      </w:r>
      <w:r>
        <w:rPr>
          <w:rFonts w:ascii="Times New Roman" w:cs="Times New Roman" w:eastAsia="Times New Roman" w:hAnsi="Times New Roman"/>
          <w:sz w:val="18"/>
          <w:szCs w:val="18"/>
          <w:color w:val="auto"/>
        </w:rPr>
        <w:t>”), AIR and Transitory Air Sub LLC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The Amendment, which is annexed hereto as Exhibit 10.1, amended the definition of AIR Net Indebtedness (as defined in Section 1.01 of the Merger Agreement). The parties’ purpose in executing the Amendment is to mitigate the impact of the Advance and the Promissory Note (each as defined below) on the calculation of AIR Net Indebtedness and thereby the number of shares of common stock of AIR to be issued to the members of Tenax pursuant to the Merger Agreement.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Air Industries Machining Corp. (“</w:t>
      </w:r>
      <w:r>
        <w:rPr>
          <w:rFonts w:ascii="Times New Roman" w:cs="Times New Roman" w:eastAsia="Times New Roman" w:hAnsi="Times New Roman"/>
          <w:sz w:val="18"/>
          <w:szCs w:val="18"/>
          <w:u w:val="single" w:color="auto"/>
          <w:color w:val="auto"/>
        </w:rPr>
        <w:t>AIM</w:t>
      </w:r>
      <w:r>
        <w:rPr>
          <w:rFonts w:ascii="Times New Roman" w:cs="Times New Roman" w:eastAsia="Times New Roman" w:hAnsi="Times New Roman"/>
          <w:sz w:val="18"/>
          <w:szCs w:val="18"/>
          <w:color w:val="auto"/>
        </w:rPr>
        <w:t>”), a wholly owned subsidiary of AIR, received a prepayment of $1,971,070 (the “</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on June 2, 2026, in respect of product being manufactured and anticipated to be delivered to one of AIM’s customers (the “</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Prior to receipt of the Advance, AIM and the Customer agreed to a form of promissory note (the “</w:t>
      </w:r>
      <w:r>
        <w:rPr>
          <w:rFonts w:ascii="Times New Roman" w:cs="Times New Roman" w:eastAsia="Times New Roman" w:hAnsi="Times New Roman"/>
          <w:sz w:val="18"/>
          <w:szCs w:val="18"/>
          <w:u w:val="single" w:color="auto"/>
          <w:color w:val="auto"/>
        </w:rPr>
        <w:t>Promissory Note</w:t>
      </w:r>
      <w:r>
        <w:rPr>
          <w:rFonts w:ascii="Times New Roman" w:cs="Times New Roman" w:eastAsia="Times New Roman" w:hAnsi="Times New Roman"/>
          <w:sz w:val="18"/>
          <w:szCs w:val="18"/>
          <w:color w:val="auto"/>
        </w:rPr>
        <w:t>”) and AIM intends to abide by the provisions of such Promissory Note with respect to the application of the proceeds and repayment of the Advance. The Advance is to be used solely to purchase necessary supplies, manufacture the product and deliver the product to the Customer’s facility in the United States. The Advance is non-interest bearing, other than upon the occurrence of an Event of Default (as defined in the Promissory Note). The Advance is to be repaid by AIM to the Customer no later than November 30, 2026, and the Customer shall have the right to set off amounts due in respect of the Advance against amounts that the Customer would owe in respect of product anticipated to be delivered in accordance with an agreed-upon schedule.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40" w:type="dxa"/>
            <w:vAlign w:val="bottom"/>
          </w:tcPr>
          <w:p>
            <w:pPr>
              <w:spacing w:after="0"/>
              <w:rPr>
                <w:sz w:val="24"/>
                <w:szCs w:val="24"/>
                <w:color w:val="auto"/>
              </w:rPr>
            </w:pPr>
          </w:p>
        </w:tc>
        <w:tc>
          <w:tcPr>
            <w:tcW w:w="806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to Agreement and Plan of Merger, dated as of June 8, 2026, among Tenax Aerospace Acquisition, LLC, Air Industries Group</w:t>
            </w: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Transitory Air Sub LLC</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Promissory Note with respect to advance received June 2, 2026.*</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3300" w:type="dxa"/>
            <w:vAlign w:val="bottom"/>
            <w:tcBorders>
              <w:top w:val="single" w:sz="8" w:color="0000EE"/>
            </w:tcBorders>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 The registrant agrees to furnish supplementally an unredacted and complete copy of the exhibit to the SEC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AIR INDUSTRIES GROUP</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12, 2026</w:t>
      </w:r>
      <w:r>
        <w:rPr>
          <w:sz w:val="20"/>
          <w:szCs w:val="20"/>
          <w:color w:val="auto"/>
        </w:rPr>
        <w:tab/>
      </w:r>
      <w:r>
        <w:rPr>
          <w:rFonts w:ascii="Times New Roman" w:cs="Times New Roman" w:eastAsia="Times New Roman" w:hAnsi="Times New Roman"/>
          <w:sz w:val="17"/>
          <w:szCs w:val="17"/>
          <w:color w:val="auto"/>
        </w:rPr>
        <w:t>By: /s/ Scott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21"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Scott Glassman</w:t>
      </w:r>
    </w:p>
    <w:p>
      <w:pPr>
        <w:spacing w:after="0" w:line="2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Acting Chief Executive Officer and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AGREEMENT AND PLAN OF MERGER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AMENDMENT, dated as of June 8, 2026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Agreement and Plan of Merger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February 16, 2026, among Tenax Aerospace Acquisition, LLC, a Delaware limited liability company (“</w:t>
      </w:r>
      <w:r>
        <w:rPr>
          <w:rFonts w:ascii="Times New Roman" w:cs="Times New Roman" w:eastAsia="Times New Roman" w:hAnsi="Times New Roman"/>
          <w:sz w:val="18"/>
          <w:szCs w:val="18"/>
          <w:u w:val="single" w:color="auto"/>
          <w:color w:val="auto"/>
        </w:rPr>
        <w:t>Tenax</w:t>
      </w:r>
      <w:r>
        <w:rPr>
          <w:rFonts w:ascii="Times New Roman" w:cs="Times New Roman" w:eastAsia="Times New Roman" w:hAnsi="Times New Roman"/>
          <w:sz w:val="18"/>
          <w:szCs w:val="18"/>
          <w:color w:val="auto"/>
        </w:rPr>
        <w:t>”), Air Industries Group, a Nevada corporation (“</w:t>
      </w:r>
      <w:r>
        <w:rPr>
          <w:rFonts w:ascii="Times New Roman" w:cs="Times New Roman" w:eastAsia="Times New Roman" w:hAnsi="Times New Roman"/>
          <w:sz w:val="18"/>
          <w:szCs w:val="18"/>
          <w:u w:val="single" w:color="auto"/>
          <w:color w:val="auto"/>
        </w:rPr>
        <w:t>AIR</w:t>
      </w:r>
      <w:r>
        <w:rPr>
          <w:rFonts w:ascii="Times New Roman" w:cs="Times New Roman" w:eastAsia="Times New Roman" w:hAnsi="Times New Roman"/>
          <w:sz w:val="18"/>
          <w:szCs w:val="18"/>
          <w:color w:val="auto"/>
        </w:rPr>
        <w:t>”), and Transitory Air Sub LLC, a Delaware limited liability company and wholly owned Subsidiary of AIR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Section 9.04 of the Agreement provides that (a) the Agreement may be amended by action taken by or on behalf of the Tenax Board, the AIR Board and the Board of Directors of Merger Sub at any time prior to the Effective Time and (b) the Agreement may not be amended except by an instrument in writing signed by each of the parties to the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Tenax Board, the AIR Board and the Board of Directors of Merger Sub have each approved this Amendment;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each of the parties to the Agreement desires to amend the Agreement as set forth herein.</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NOW, THEREFORE, for and in consideration of the aforesaid premises and of the mutual representations, warranties and covenants contained herein, and for other good and valuable consideration, the receipt and sufficiency of which are hereby acknowledged, intending to be legally bound, the parties hereto hereby agree as set forth below:</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 Definitions</w:t>
      </w:r>
      <w:r>
        <w:rPr>
          <w:rFonts w:ascii="Times New Roman" w:cs="Times New Roman" w:eastAsia="Times New Roman" w:hAnsi="Times New Roman"/>
          <w:sz w:val="18"/>
          <w:szCs w:val="18"/>
          <w:color w:val="auto"/>
        </w:rPr>
        <w:t>. Capitalized terms used herein without definition shall have the meanings ascribed to such terms in the Agreement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indicated.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2. Amendment to Agreement</w:t>
      </w:r>
      <w:r>
        <w:rPr>
          <w:rFonts w:ascii="Times New Roman" w:cs="Times New Roman" w:eastAsia="Times New Roman" w:hAnsi="Times New Roman"/>
          <w:sz w:val="18"/>
          <w:szCs w:val="18"/>
          <w:color w:val="auto"/>
        </w:rPr>
        <w:t>. The definition of “AIR Net Indebtedness” set forth in Section 1.01 of the Agreement is hereby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restated in its entirety as follows: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Net Indebtedness</w:t>
      </w:r>
      <w:r>
        <w:rPr>
          <w:rFonts w:ascii="Times New Roman" w:cs="Times New Roman" w:eastAsia="Times New Roman" w:hAnsi="Times New Roman"/>
          <w:sz w:val="18"/>
          <w:szCs w:val="18"/>
          <w:color w:val="auto"/>
        </w:rPr>
        <w:t>” means, as of any date of determination, as determined in accordance with the AIR Accounting Principles:</w:t>
      </w:r>
    </w:p>
    <w:p>
      <w:pPr>
        <w:spacing w:after="0" w:line="225" w:lineRule="exact"/>
        <w:rPr>
          <w:sz w:val="20"/>
          <w:szCs w:val="20"/>
          <w:color w:val="auto"/>
        </w:rPr>
      </w:pPr>
    </w:p>
    <w:p>
      <w:pPr>
        <w:jc w:val="both"/>
        <w:ind w:left="340" w:firstLine="316"/>
        <w:spacing w:after="0" w:line="261" w:lineRule="auto"/>
        <w:tabs>
          <w:tab w:leader="none" w:pos="92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Indebtedness of AIR and its Subsidiaries, plus, to the extent not already included in Indebtedness, (i) the aggregate amount of accounts payable and accrued expenses, but excluding accruals for Expenses, in excess of $6,500,000, (ii) the aggregate amount of deferred gain on sale, (iii) the aggregate amount of customer deposits and (iv) the aggregate amount of any reserves taken for unprofitable F-35 revenues not included in accrued expenses; </w:t>
      </w:r>
      <w:r>
        <w:rPr>
          <w:rFonts w:ascii="Times New Roman" w:cs="Times New Roman" w:eastAsia="Times New Roman" w:hAnsi="Times New Roman"/>
          <w:sz w:val="18"/>
          <w:szCs w:val="18"/>
          <w:i w:val="1"/>
          <w:iCs w:val="1"/>
          <w:u w:val="single" w:color="auto"/>
          <w:color w:val="auto"/>
        </w:rPr>
        <w:t>minus</w:t>
      </w:r>
    </w:p>
    <w:p>
      <w:pPr>
        <w:spacing w:after="0" w:line="17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AIR Expense Amount; </w:t>
      </w:r>
      <w:r>
        <w:rPr>
          <w:rFonts w:ascii="Times New Roman" w:cs="Times New Roman" w:eastAsia="Times New Roman" w:hAnsi="Times New Roman"/>
          <w:sz w:val="18"/>
          <w:szCs w:val="18"/>
          <w:i w:val="1"/>
          <w:iCs w:val="1"/>
          <w:u w:val="single" w:color="auto"/>
          <w:color w:val="auto"/>
        </w:rPr>
        <w:t>minus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AIR Option Exercise Amount; </w:t>
      </w:r>
      <w:r>
        <w:rPr>
          <w:rFonts w:ascii="Times New Roman" w:cs="Times New Roman" w:eastAsia="Times New Roman" w:hAnsi="Times New Roman"/>
          <w:sz w:val="18"/>
          <w:szCs w:val="18"/>
          <w:i w:val="1"/>
          <w:iCs w:val="1"/>
          <w:u w:val="single" w:color="auto"/>
          <w:color w:val="auto"/>
        </w:rPr>
        <w:t>minus</w:t>
      </w:r>
    </w:p>
    <w:p>
      <w:pPr>
        <w:spacing w:after="0" w:line="227" w:lineRule="exact"/>
        <w:rPr>
          <w:rFonts w:ascii="Times New Roman" w:cs="Times New Roman" w:eastAsia="Times New Roman" w:hAnsi="Times New Roman"/>
          <w:sz w:val="18"/>
          <w:szCs w:val="18"/>
          <w:color w:val="auto"/>
        </w:rPr>
      </w:pPr>
    </w:p>
    <w:p>
      <w:pPr>
        <w:ind w:left="340" w:firstLine="316"/>
        <w:spacing w:after="0" w:line="282" w:lineRule="auto"/>
        <w:tabs>
          <w:tab w:leader="none" w:pos="95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if any, by which the aggregate amount of any work-in-process inventory of part number 2343 produced by Air Industries Machining, Corp. (“</w:t>
      </w:r>
      <w:r>
        <w:rPr>
          <w:rFonts w:ascii="Times New Roman" w:cs="Times New Roman" w:eastAsia="Times New Roman" w:hAnsi="Times New Roman"/>
          <w:sz w:val="18"/>
          <w:szCs w:val="18"/>
          <w:u w:val="single" w:color="auto"/>
          <w:color w:val="auto"/>
        </w:rPr>
        <w:t>AIM</w:t>
      </w:r>
      <w:r>
        <w:rPr>
          <w:rFonts w:ascii="Times New Roman" w:cs="Times New Roman" w:eastAsia="Times New Roman" w:hAnsi="Times New Roman"/>
          <w:sz w:val="18"/>
          <w:szCs w:val="18"/>
          <w:color w:val="auto"/>
        </w:rPr>
        <w:t xml:space="preserve">”), a wholly-owned Subsidiary of AIR, exceeds $3,284,976; </w:t>
      </w:r>
      <w:r>
        <w:rPr>
          <w:rFonts w:ascii="Times New Roman" w:cs="Times New Roman" w:eastAsia="Times New Roman" w:hAnsi="Times New Roman"/>
          <w:sz w:val="18"/>
          <w:szCs w:val="18"/>
          <w:i w:val="1"/>
          <w:iCs w:val="1"/>
          <w:u w:val="single" w:color="auto"/>
          <w:color w:val="auto"/>
        </w:rPr>
        <w:t>minus</w:t>
      </w:r>
    </w:p>
    <w:p>
      <w:pPr>
        <w:spacing w:after="0" w:line="15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AIR Cash; </w:t>
      </w:r>
      <w:r>
        <w:rPr>
          <w:rFonts w:ascii="Times New Roman" w:cs="Times New Roman" w:eastAsia="Times New Roman" w:hAnsi="Times New Roman"/>
          <w:sz w:val="18"/>
          <w:szCs w:val="18"/>
          <w:i w:val="1"/>
          <w:iCs w:val="1"/>
          <w:u w:val="single" w:color="auto"/>
          <w:color w:val="auto"/>
        </w:rPr>
        <w:t>plus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340" w:firstLine="316"/>
        <w:spacing w:after="0" w:line="282" w:lineRule="auto"/>
        <w:tabs>
          <w:tab w:leader="none" w:pos="8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if any, by which the aggregate amount of accounts receivable related to sales of part number 2343 produced by AIM is less than $3,105,364; </w:t>
      </w:r>
      <w:r>
        <w:rPr>
          <w:rFonts w:ascii="Times New Roman" w:cs="Times New Roman" w:eastAsia="Times New Roman" w:hAnsi="Times New Roman"/>
          <w:sz w:val="18"/>
          <w:szCs w:val="18"/>
          <w:i w:val="1"/>
          <w:iCs w:val="1"/>
          <w:u w:val="single" w:color="auto"/>
          <w:color w:val="auto"/>
        </w:rPr>
        <w:t>plus</w:t>
      </w:r>
    </w:p>
    <w:p>
      <w:pPr>
        <w:spacing w:after="0" w:line="15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AIR Securities Issuance Proceeds Amount; </w:t>
      </w:r>
      <w:r>
        <w:rPr>
          <w:rFonts w:ascii="Times New Roman" w:cs="Times New Roman" w:eastAsia="Times New Roman" w:hAnsi="Times New Roman"/>
          <w:sz w:val="18"/>
          <w:szCs w:val="18"/>
          <w:i w:val="1"/>
          <w:iCs w:val="1"/>
          <w:u w:val="single" w:color="auto"/>
          <w:color w:val="auto"/>
        </w:rPr>
        <w:t>plus</w:t>
      </w:r>
    </w:p>
    <w:p>
      <w:pPr>
        <w:spacing w:after="0" w:line="2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AIR Award Issuance Amount.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example of the calculation of AIR Net Indebtedness as of December 31, 2025, is set forth in Section 1.01 of the AIR Disclosure Letter.”</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 Representations and Warranties. </w:t>
      </w:r>
      <w:r>
        <w:rPr>
          <w:rFonts w:ascii="Times New Roman" w:cs="Times New Roman" w:eastAsia="Times New Roman" w:hAnsi="Times New Roman"/>
          <w:sz w:val="18"/>
          <w:szCs w:val="18"/>
          <w:color w:val="auto"/>
        </w:rPr>
        <w:t>Each party hereto hereby represents and warrants that: (a) it has all necessary corporate or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power and authority to enter into, and to perform its obligations under, this Amendment, (b) the execution, delivery and performance of this Amendment by such party has been duly and validly authorized by all necessary corporate or limited liability company action, and no other corporate or limited liability company proceedings on the part of such party are necessary to authorize this Amendment and (c) this Amendment has been duly executed and delivered by such party and, assuming due execution and delivery by all other parties, constitutes the valid and binding agreement of such party, enforceable against such party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 General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All of the provisions of this Amendment shall be effective as of the date of this Amendment. Except to the extent specifically amended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terms of the Agreement shall remain unchanged and in full force and effect, and, to the extent applicable, such terms shall apply to this Amendment as if it formed a part of the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color w:val="auto"/>
        </w:rPr>
        <w:t>After giving effect to this Amendment, each reference in the Agreement to “this Agreement”, “hereof”, “hereunder” or words of like import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referring to the Agreement shall refer to the Agreement as amended by this Amendment. For the avoidance of doubt, all references in the Agreement to “the date hereof” or “the date of this Agreement” shall refer to February 16, 2026.</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color w:val="auto"/>
        </w:rPr>
        <w:t>This Amendment and the Agreement (including the exhibits and schedules to the Agreement, including the AIR Disclosure Letter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Tenax Disclosure Letter), the other Transaction Documents and the Confidentiality Agreement constitute the entire agreement among the parties with respect to the subject matter hereof and thereof and supersede all prior agreements and undertakings, both written and oral, among the parties, or any of them, with respect to the subject matter hereof and thereof.</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color w:val="auto"/>
        </w:rPr>
        <w:t>The provisions of Article X (General Provisions) of the Agreement shall, to the extent not already set forth in this Amendment, apply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to this Amendment, and to the Agreement as modified by this Amendment, taken together as a single agreement, reflecting the terms as modified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hereby.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Tenax, AIR and Merger Sub have caused this Amendment to be executed as of the date first written above by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officers thereunto duly authorized.</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Thomas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Thomas C. Foley</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Chairman</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AIR INDUSTRIES GROUP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Scott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Scott Glassman</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Acting CEO and President</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TRANSITORY AIR SUB LLC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Scott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Scott Glassman</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the Amendment to the Agreement and Plan of Merger]</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41" w:lineRule="exact"/>
        <w:rPr>
          <w:sz w:val="20"/>
          <w:szCs w:val="20"/>
          <w:color w:val="auto"/>
        </w:rPr>
      </w:pPr>
    </w:p>
    <w:p>
      <w:pPr>
        <w:jc w:val="center"/>
        <w:ind w:left="480" w:right="20"/>
        <w:spacing w:after="0" w:line="282" w:lineRule="auto"/>
        <w:rPr>
          <w:sz w:val="20"/>
          <w:szCs w:val="20"/>
          <w:color w:val="auto"/>
        </w:rPr>
      </w:pPr>
      <w:r>
        <w:rPr>
          <w:rFonts w:ascii="Times New Roman" w:cs="Times New Roman" w:eastAsia="Times New Roman" w:hAnsi="Times New Roman"/>
          <w:sz w:val="18"/>
          <w:szCs w:val="18"/>
          <w:color w:val="auto"/>
        </w:rPr>
        <w:t>Certain information has been excluded from this exhibit because it is both not material and is information that the registrant typically treats as private and confidential. Redacted information is indicated by [***].</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PROMISSORY NOTE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b w:val="1"/>
          <w:bCs w:val="1"/>
          <w:color w:val="auto"/>
        </w:rPr>
        <w:t xml:space="preserve"> “Note”) </w:t>
      </w:r>
      <w:r>
        <w:rPr>
          <w:rFonts w:ascii="Times New Roman" w:cs="Times New Roman" w:eastAsia="Times New Roman" w:hAnsi="Times New Roman"/>
          <w:sz w:val="18"/>
          <w:szCs w:val="18"/>
          <w:color w:val="auto"/>
        </w:rPr>
        <w:t>is made as of [***] by and between [***] a part of [***], a Delaware corporation having its principal place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business at [***] (including its successors and assigns, the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xml:space="preserve"> and Air Industries Machining Corp., a New York corporation having an office and place of business at 1460 Fifth Avenue, Bay Shore, New York 11706 (including its successors and assigns,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Lender and Borrower may also be referred to herein individually as a “Party” or collectively as the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reference is made to the Master Tenns Agreement [***], effective June 1, 2015 between [***], a part of [***], and Borrower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amended, amended and restated, renewed, extended, supplemented, replaced or otherwise modified from time to time, the </w:t>
      </w:r>
      <w:r>
        <w:rPr>
          <w:rFonts w:ascii="Times New Roman" w:cs="Times New Roman" w:eastAsia="Times New Roman" w:hAnsi="Times New Roman"/>
          <w:sz w:val="18"/>
          <w:szCs w:val="18"/>
          <w:b w:val="1"/>
          <w:bCs w:val="1"/>
          <w:color w:val="auto"/>
        </w:rPr>
        <w:t>“Master 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pursuant to which the Lender agreed to purchase certain goods (the</w:t>
      </w:r>
      <w:r>
        <w:rPr>
          <w:rFonts w:ascii="Times New Roman" w:cs="Times New Roman" w:eastAsia="Times New Roman" w:hAnsi="Times New Roman"/>
          <w:sz w:val="18"/>
          <w:szCs w:val="18"/>
          <w:b w:val="1"/>
          <w:bCs w:val="1"/>
          <w:color w:val="auto"/>
        </w:rPr>
        <w:t xml:space="preserve"> “Goods”) </w:t>
      </w:r>
      <w:r>
        <w:rPr>
          <w:rFonts w:ascii="Times New Roman" w:cs="Times New Roman" w:eastAsia="Times New Roman" w:hAnsi="Times New Roman"/>
          <w:sz w:val="18"/>
          <w:szCs w:val="18"/>
          <w:color w:val="auto"/>
        </w:rPr>
        <w:t>from the Borrower, as identified in the 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 dated October 15, 2019 (as amended, amended and restated, renewed, extended, supplemented, replaced or otherwise modified from time to time, the </w:t>
      </w:r>
      <w:r>
        <w:rPr>
          <w:rFonts w:ascii="Times New Roman" w:cs="Times New Roman" w:eastAsia="Times New Roman" w:hAnsi="Times New Roman"/>
          <w:sz w:val="18"/>
          <w:szCs w:val="18"/>
          <w:b w:val="1"/>
          <w:bCs w:val="1"/>
          <w:color w:val="auto"/>
        </w:rPr>
        <w:t>“Purchase Agreement”);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the Lender has agreed to advance US$[***] (the</w:t>
      </w:r>
      <w:r>
        <w:rPr>
          <w:rFonts w:ascii="Times New Roman" w:cs="Times New Roman" w:eastAsia="Times New Roman" w:hAnsi="Times New Roman"/>
          <w:sz w:val="18"/>
          <w:szCs w:val="18"/>
          <w:b w:val="1"/>
          <w:bCs w:val="1"/>
          <w:color w:val="auto"/>
        </w:rPr>
        <w:t xml:space="preserve"> “Principal Amount”) </w:t>
      </w:r>
      <w:r>
        <w:rPr>
          <w:rFonts w:ascii="Times New Roman" w:cs="Times New Roman" w:eastAsia="Times New Roman" w:hAnsi="Times New Roman"/>
          <w:sz w:val="18"/>
          <w:szCs w:val="18"/>
          <w:color w:val="auto"/>
        </w:rPr>
        <w:t>to the Borrower to be utilized by the Borrower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certain component parts to be utilized by the Borrower in the manufacture of the Goods in accordance with [***] issued by the Lender to the Borrower on or about May 29, 2026.</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the Principal Amount is to be repaid in full, in cash or by wire transfer of immediately available federal funds, by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or before November 30, 2026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xml:space="preserve"> unless previously satisfied through setoff of amounts due and owing from the Lender to the Borrower as set forth herein.</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covenants, terms and conditions set forth herein,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agree as follows:</w:t>
      </w:r>
    </w:p>
    <w:p>
      <w:pPr>
        <w:spacing w:after="0" w:line="15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 and Interpretation.</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te1ms used but not defined in this Note shall be as defined in the Purchase Agreement and the Master Terms Agreement.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clearly requires otherwise, as used herein the words “include,” “includes,” and “including” mean, in each case, without limitation.</w:t>
      </w:r>
    </w:p>
    <w:p>
      <w:pPr>
        <w:spacing w:after="0" w:line="157"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Promise to Pay. </w:t>
      </w:r>
      <w:r>
        <w:rPr>
          <w:rFonts w:ascii="Times New Roman" w:cs="Times New Roman" w:eastAsia="Times New Roman" w:hAnsi="Times New Roman"/>
          <w:sz w:val="18"/>
          <w:szCs w:val="18"/>
          <w:color w:val="auto"/>
        </w:rPr>
        <w:t>Subject to the terms and conditions hereof, the Borrower hereby acknowledges itself indebted to the Lender and promises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order of the Lender the Principal Amount and any applicable accrued interest, fees, and other amounts then unpaid (collectively, the </w:t>
      </w:r>
      <w:r>
        <w:rPr>
          <w:rFonts w:ascii="Times New Roman" w:cs="Times New Roman" w:eastAsia="Times New Roman" w:hAnsi="Times New Roman"/>
          <w:sz w:val="18"/>
          <w:szCs w:val="18"/>
          <w:b w:val="1"/>
          <w:bCs w:val="1"/>
          <w:color w:val="auto"/>
        </w:rPr>
        <w:t xml:space="preserve">“Obligations”), </w:t>
      </w:r>
      <w:r>
        <w:rPr>
          <w:rFonts w:ascii="Times New Roman" w:cs="Times New Roman" w:eastAsia="Times New Roman" w:hAnsi="Times New Roman"/>
          <w:sz w:val="18"/>
          <w:szCs w:val="18"/>
          <w:color w:val="auto"/>
        </w:rPr>
        <w:t>in lawful money of the United States of America, as set forth herein.</w:t>
      </w:r>
    </w:p>
    <w:p>
      <w:pPr>
        <w:spacing w:after="0" w:line="170" w:lineRule="exact"/>
        <w:rPr>
          <w:rFonts w:ascii="Times New Roman" w:cs="Times New Roman" w:eastAsia="Times New Roman" w:hAnsi="Times New Roman"/>
          <w:sz w:val="18"/>
          <w:szCs w:val="18"/>
          <w:color w:val="auto"/>
        </w:rPr>
      </w:pPr>
    </w:p>
    <w:p>
      <w:pPr>
        <w:jc w:val="both"/>
        <w:ind w:left="660" w:hanging="652"/>
        <w:spacing w:after="0" w:line="25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Use of Proceeds. </w:t>
      </w:r>
      <w:r>
        <w:rPr>
          <w:rFonts w:ascii="Times New Roman" w:cs="Times New Roman" w:eastAsia="Times New Roman" w:hAnsi="Times New Roman"/>
          <w:sz w:val="18"/>
          <w:szCs w:val="18"/>
          <w:color w:val="auto"/>
        </w:rPr>
        <w:t>The Borrower acknowledges, agrees and confirms that the Principal Amount and any and all other amounts advanced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to the Borrower from time to time shall be used solely to purchase, manufacture, process and have delivered to the Borrower’s facility in the United States, Inco 718 [***]. Notwithstanding anything to the contrary in the Purchase Agreement, the Master Terms Agreement, or this Note, the Lender shall have no obligation to purchase, pay for, or lend funds for any Goods that Lender or its affiliates are prohibited from purchasing in accordance with Export Control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both"/>
        <w:ind w:left="660" w:hanging="652"/>
        <w:spacing w:after="0" w:line="25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Prior to the occurrence of an Event of Default, the Obligations shall be non-interest bearing. Notwithstanding the foregoing,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of an Event of Default, at the sole and absolute discretion of the Lender, all outstanding Obligations shall bear interest at the rate of two percent (2.00%) per annum, calculated daily, or the highest rate allowed by applicable law, whichever is lower (the “Interest Rate”), commencing on the date of such Event of Default until the Obligations are paid in full. Such interest shall be payable on demand. Interest shall accrue daily and be calculated on the basis of a year of 365 or 366 days, as the case may be, and the actual number of days elapsed. Any payment which becomes due on a day which is not a Business Day (as defined below) shall be paid on the next following Business Day, and such extension shall be taken into account for the calculation of interest and overdue interest.</w:t>
      </w:r>
    </w:p>
    <w:p>
      <w:pPr>
        <w:spacing w:after="0" w:line="182"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Method of Payment. </w:t>
      </w:r>
      <w:r>
        <w:rPr>
          <w:rFonts w:ascii="Times New Roman" w:cs="Times New Roman" w:eastAsia="Times New Roman" w:hAnsi="Times New Roman"/>
          <w:sz w:val="18"/>
          <w:szCs w:val="18"/>
          <w:color w:val="auto"/>
        </w:rPr>
        <w:t>Except as stated in Section 6(b), the Principal Amount and interest due hereunder shall be paid to the Lender in lawful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money of the United States of America in immediately available funds by wire transfer (in accordance with the wire transfer instructions provided by the Lender to the Borrower from time to time).</w:t>
      </w:r>
    </w:p>
    <w:p>
      <w:pPr>
        <w:spacing w:after="0" w:line="17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and Repayment.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9, the term of this Note shall commence on the date of this Note and shall continue up to and including the </w:t>
      </w:r>
      <w:r>
        <w:rPr>
          <w:rFonts w:ascii="Times New Roman" w:cs="Times New Roman" w:eastAsia="Times New Roman" w:hAnsi="Times New Roman"/>
          <w:sz w:val="18"/>
          <w:szCs w:val="18"/>
          <w:b w:val="1"/>
          <w:bCs w:val="1"/>
          <w:color w:val="auto"/>
        </w:rPr>
        <w:t>Maturity Date.</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permanently repay the Principal Amount together with all accrued and outstanding interest thereon, if applicable, to the Lender in accordance with the repayment schedule attached as Schedule A (as amended, amended and restated, renewed, extended, supplemented, replaced or otherwise modified from time to time, the </w:t>
      </w:r>
      <w:r>
        <w:rPr>
          <w:rFonts w:ascii="Times New Roman" w:cs="Times New Roman" w:eastAsia="Times New Roman" w:hAnsi="Times New Roman"/>
          <w:sz w:val="18"/>
          <w:szCs w:val="18"/>
          <w:b w:val="1"/>
          <w:bCs w:val="1"/>
          <w:color w:val="auto"/>
        </w:rPr>
        <w:t>“Repayment Schedule”).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6(b) above, in lieu of the Borrower’s repayment in cash of any or all installments of the Obligations, the Lender shall have the right, but not the obligation, exercisable in its sole discretion, to elect to set off amounts that the Lender would owe to the Borrower in the form of agreed upon reduced payments for Goods to be delivered between the months of between September 2026, October 2026, and November 2026 in accordance with the set off repayment. schedule attached as Schedule B.</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any portion of the unpaid balance of the Principal Amount outstanding, and all accrued interest, fees, and other amounts then unpaid, in full on the Maturity Date.</w:t>
      </w:r>
    </w:p>
    <w:p>
      <w:pPr>
        <w:spacing w:after="0" w:line="157"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Prepayment. </w:t>
      </w:r>
      <w:r>
        <w:rPr>
          <w:rFonts w:ascii="Times New Roman" w:cs="Times New Roman" w:eastAsia="Times New Roman" w:hAnsi="Times New Roman"/>
          <w:sz w:val="18"/>
          <w:szCs w:val="18"/>
          <w:color w:val="auto"/>
        </w:rPr>
        <w:t>The Borrower may at any time, and from time to time, prepay all or any portion of the unpaid balance of the Principal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outstanding, together with all applicable interest accrued but unpaid thereon, without premium or penalty,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it has given the Lender not less than five (5) Business Days prior written Notice. Each prepayment pursuant to this Section shall be applied pro rata in accordance with the remaining outstanding principal amount of such installments in order of maturity.</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Conclusive Evidence of lndebtedness. </w:t>
      </w:r>
      <w:r>
        <w:rPr>
          <w:rFonts w:ascii="Times New Roman" w:cs="Times New Roman" w:eastAsia="Times New Roman" w:hAnsi="Times New Roman"/>
          <w:sz w:val="18"/>
          <w:szCs w:val="18"/>
          <w:color w:val="auto"/>
        </w:rPr>
        <w:t>The recording by the Lender in its accounts of the Principal Amount owing by the Borrower, accrued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interest and repayments shall, in the absence of manifest mathematical error, be prima facie evidence of the same;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failure of the Lender to record the same shall not affect the obligation of the Borrower to pay such amounts to the Lender.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Events of Default.</w:t>
      </w:r>
    </w:p>
    <w:p>
      <w:pPr>
        <w:spacing w:after="0" w:line="22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outstanding Principal Amount and all accrued interest and other costs, expenses and charges thereon shall immediately become due and payable without notice or demand upon the occurrence of any of the following events of default (each, an </w:t>
      </w:r>
      <w:r>
        <w:rPr>
          <w:rFonts w:ascii="Times New Roman" w:cs="Times New Roman" w:eastAsia="Times New Roman" w:hAnsi="Times New Roman"/>
          <w:sz w:val="18"/>
          <w:szCs w:val="18"/>
          <w:b w:val="1"/>
          <w:bCs w:val="1"/>
          <w:color w:val="auto"/>
        </w:rPr>
        <w:t>“Event of Default”):</w:t>
      </w:r>
    </w:p>
    <w:p>
      <w:pPr>
        <w:spacing w:after="0" w:line="161"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pay any Principal Amount when due and payable hereunder.</w:t>
      </w:r>
    </w:p>
    <w:p>
      <w:pPr>
        <w:spacing w:after="0" w:line="225" w:lineRule="exact"/>
        <w:rPr>
          <w:rFonts w:ascii="Times New Roman" w:cs="Times New Roman" w:eastAsia="Times New Roman" w:hAnsi="Times New Roman"/>
          <w:sz w:val="18"/>
          <w:szCs w:val="18"/>
          <w:color w:val="auto"/>
        </w:rPr>
      </w:pPr>
    </w:p>
    <w:p>
      <w:pPr>
        <w:ind w:left="1420" w:hanging="440"/>
        <w:spacing w:after="0" w:line="282" w:lineRule="auto"/>
        <w:tabs>
          <w:tab w:leader="none" w:pos="14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observe or perform any duties or obligations of this Note and such failure continues for three (3) Business Days after written Notice to the Borrower.</w:t>
      </w:r>
    </w:p>
    <w:p>
      <w:pPr>
        <w:spacing w:after="0" w:line="161"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ceases to carry on business.</w:t>
      </w:r>
    </w:p>
    <w:p>
      <w:pPr>
        <w:spacing w:after="0" w:line="225" w:lineRule="exact"/>
        <w:rPr>
          <w:rFonts w:ascii="Times New Roman" w:cs="Times New Roman" w:eastAsia="Times New Roman" w:hAnsi="Times New Roman"/>
          <w:sz w:val="18"/>
          <w:szCs w:val="18"/>
          <w:color w:val="auto"/>
        </w:rPr>
      </w:pPr>
    </w:p>
    <w:p>
      <w:pPr>
        <w:jc w:val="both"/>
        <w:ind w:left="1420" w:hanging="440"/>
        <w:spacing w:after="0" w:line="258" w:lineRule="auto"/>
        <w:tabs>
          <w:tab w:leader="none" w:pos="14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commences any application, proceeding or other action under any laws relating to bankruptcy, insolvency, reorganization, winding-up, dissolution or other analogous laws, seeking to have an order for relief entered with respect to it, or seeking to adjudicate it as bankrupt or insolvent, or seeking reorganization, arrangement, proposal, adjustment, winding-up, liquidation, dissolution, composition or other relief with respect to it or its debts or if the Borrower makes a general assignment for the benefit of its creditors.</w:t>
      </w:r>
    </w:p>
    <w:p>
      <w:pPr>
        <w:spacing w:after="0" w:line="183" w:lineRule="exact"/>
        <w:rPr>
          <w:rFonts w:ascii="Times New Roman" w:cs="Times New Roman" w:eastAsia="Times New Roman" w:hAnsi="Times New Roman"/>
          <w:sz w:val="18"/>
          <w:szCs w:val="18"/>
          <w:color w:val="auto"/>
        </w:rPr>
      </w:pPr>
    </w:p>
    <w:p>
      <w:pPr>
        <w:jc w:val="both"/>
        <w:ind w:left="1420" w:hanging="440"/>
        <w:spacing w:after="0" w:line="266" w:lineRule="auto"/>
        <w:tabs>
          <w:tab w:leader="none" w:pos="14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commenced against the Borrower any application, proceeding or other action of a nature referred to in subsection (d) directly above which results in the entry of an order for any such relief which has not been vacated, dismissed, stayed or bonded pending appeal within thirty (30) days from the entry thereof.</w:t>
      </w:r>
    </w:p>
    <w:p>
      <w:pPr>
        <w:spacing w:after="0" w:line="175" w:lineRule="exact"/>
        <w:rPr>
          <w:rFonts w:ascii="Times New Roman" w:cs="Times New Roman" w:eastAsia="Times New Roman" w:hAnsi="Times New Roman"/>
          <w:sz w:val="18"/>
          <w:szCs w:val="18"/>
          <w:color w:val="auto"/>
        </w:rPr>
      </w:pPr>
    </w:p>
    <w:p>
      <w:pPr>
        <w:jc w:val="both"/>
        <w:ind w:left="1420" w:hanging="440"/>
        <w:spacing w:after="0" w:line="266" w:lineRule="auto"/>
        <w:tabs>
          <w:tab w:leader="none" w:pos="14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receiver, interim receiver, receiver and manager, trustee, custodian, conservator or other similar official is appointed over all or any part of the assets of the Borrower which has not been vacated, dismissed, stayed or bonded pending appeal within thirty (30) days from the entry thereof.</w:t>
      </w:r>
    </w:p>
    <w:p>
      <w:pPr>
        <w:spacing w:after="0" w:line="175" w:lineRule="exact"/>
        <w:rPr>
          <w:rFonts w:ascii="Times New Roman" w:cs="Times New Roman" w:eastAsia="Times New Roman" w:hAnsi="Times New Roman"/>
          <w:sz w:val="18"/>
          <w:szCs w:val="18"/>
          <w:color w:val="auto"/>
        </w:rPr>
      </w:pPr>
    </w:p>
    <w:p>
      <w:pPr>
        <w:jc w:val="both"/>
        <w:ind w:left="1420" w:hanging="440"/>
        <w:spacing w:after="0" w:line="266" w:lineRule="auto"/>
        <w:tabs>
          <w:tab w:leader="none" w:pos="14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commenced against the Borrower any application, proceeding or other action seeking issuance of a writ of seizure and sale, execution, garnishment or similar process against all or any part of its assets which results in the entry of an order for any such relief which has not been vacated, discharged, stayed or bonded pending appeal within ten (10) days from the entry thereof.</w:t>
      </w:r>
    </w:p>
    <w:p>
      <w:pPr>
        <w:spacing w:after="0" w:line="175"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takes any steps in furtherance of any of the foregoing Sections 9(a)(i) through 9(a)(vii).</w:t>
      </w:r>
    </w:p>
    <w:p>
      <w:pPr>
        <w:spacing w:after="0" w:line="225"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default by the Borrower of its obligations under the Master Terms Agreement or the Purchase Agreement.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Default, the Lender shall be entitled to recover from the Borrower all reasonable attorneys’ fees and costs incurred in connection with the enforcement of this Note.</w:t>
      </w:r>
    </w:p>
    <w:p>
      <w:pPr>
        <w:spacing w:after="0" w:line="157"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The Borrower hereby waives presentment, demand for payment, protest, notice of protest, notice of non-payment, notice of dishonor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all other notices or demands relative to this Note.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both"/>
        <w:ind w:left="660" w:hanging="652"/>
        <w:spacing w:after="0" w:line="26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Assignment. </w:t>
      </w:r>
      <w:r>
        <w:rPr>
          <w:rFonts w:ascii="Times New Roman" w:cs="Times New Roman" w:eastAsia="Times New Roman" w:hAnsi="Times New Roman"/>
          <w:sz w:val="18"/>
          <w:szCs w:val="18"/>
          <w:color w:val="auto"/>
        </w:rPr>
        <w:t>The Borrower may not assign or otherwise transfer any of its rights or obligations under this Note, without the prior written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Lender. The Lender may assign or transfer any of its rights under this Note, without the consent of the Borrower. Any purported assignment in violation of this Section 11 shall be null and void.</w:t>
      </w:r>
    </w:p>
    <w:p>
      <w:pPr>
        <w:spacing w:after="0" w:line="170"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Amendments. </w:t>
      </w:r>
      <w:r>
        <w:rPr>
          <w:rFonts w:ascii="Times New Roman" w:cs="Times New Roman" w:eastAsia="Times New Roman" w:hAnsi="Times New Roman"/>
          <w:sz w:val="18"/>
          <w:szCs w:val="18"/>
          <w:color w:val="auto"/>
        </w:rPr>
        <w:t>This Note may only be amended, amended and restated or othe1wise modified by an agreement in writing signed by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of the Lender and the Borrower.</w:t>
      </w:r>
    </w:p>
    <w:p>
      <w:pPr>
        <w:spacing w:after="0" w:line="154" w:lineRule="exact"/>
        <w:rPr>
          <w:rFonts w:ascii="Times New Roman" w:cs="Times New Roman" w:eastAsia="Times New Roman" w:hAnsi="Times New Roman"/>
          <w:sz w:val="18"/>
          <w:szCs w:val="18"/>
          <w:color w:val="auto"/>
        </w:rPr>
      </w:pPr>
    </w:p>
    <w:p>
      <w:pPr>
        <w:jc w:val="both"/>
        <w:ind w:left="660" w:hanging="652"/>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No waiver by the Lender of any of the provisions hereof is effective unless explicitly set forth in writing and signed by the Lender.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by the Lender will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Note will operate or be construed as a waiver thereof; nor will any single or partial exercise of any right, remedy, power or privilege hereunder preclude any other or further exercise thereof or the exercise of any other light, remedy, power or privilege.</w:t>
      </w:r>
    </w:p>
    <w:p>
      <w:pPr>
        <w:spacing w:after="0" w:line="182"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Successors and Assigns. </w:t>
      </w:r>
      <w:r>
        <w:rPr>
          <w:rFonts w:ascii="Times New Roman" w:cs="Times New Roman" w:eastAsia="Times New Roman" w:hAnsi="Times New Roman"/>
          <w:sz w:val="18"/>
          <w:szCs w:val="18"/>
          <w:color w:val="auto"/>
        </w:rPr>
        <w:t>This Note is binding upon the Borrower and its successors and permitted assigns and shall inure to the benefit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and its successors and pe1mitted assigns.</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ind w:left="980" w:hanging="324"/>
        <w:spacing w:after="0" w:line="28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and other communications provided for hereunder (each, a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shall be in writing and be delivered by the method and to the addressees noted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19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10"/>
        </w:trPr>
        <w:tc>
          <w:tcPr>
            <w:tcW w:w="19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Attention:</w:t>
            </w: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19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Email:</w:t>
            </w: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 e provided by Lender in any instance where electronic Notice</w:t>
            </w:r>
          </w:p>
        </w:tc>
      </w:tr>
      <w:tr>
        <w:trPr>
          <w:trHeight w:val="234"/>
        </w:trPr>
        <w:tc>
          <w:tcPr>
            <w:tcW w:w="1900" w:type="dxa"/>
            <w:vAlign w:val="bottom"/>
          </w:tcPr>
          <w:p>
            <w:pPr>
              <w:spacing w:after="0"/>
              <w:rPr>
                <w:sz w:val="20"/>
                <w:szCs w:val="20"/>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 specifically permitted by Lender in its sole and absolute discretion</w:t>
            </w:r>
          </w:p>
        </w:tc>
      </w:tr>
      <w:tr>
        <w:trPr>
          <w:trHeight w:val="410"/>
        </w:trPr>
        <w:tc>
          <w:tcPr>
            <w:tcW w:w="19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9340" w:type="dxa"/>
            <w:vAlign w:val="bottom"/>
          </w:tcPr>
          <w:p>
            <w:pPr>
              <w:spacing w:after="0"/>
              <w:rPr>
                <w:sz w:val="24"/>
                <w:szCs w:val="24"/>
                <w:color w:val="auto"/>
              </w:rPr>
            </w:pPr>
          </w:p>
        </w:tc>
      </w:tr>
      <w:tr>
        <w:trPr>
          <w:trHeight w:val="220"/>
        </w:trPr>
        <w:tc>
          <w:tcPr>
            <w:tcW w:w="19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Air Industries Machining Corporation</w:t>
            </w:r>
          </w:p>
        </w:tc>
      </w:tr>
      <w:tr>
        <w:trPr>
          <w:trHeight w:val="234"/>
        </w:trPr>
        <w:tc>
          <w:tcPr>
            <w:tcW w:w="1900" w:type="dxa"/>
            <w:vAlign w:val="bottom"/>
          </w:tcPr>
          <w:p>
            <w:pPr>
              <w:spacing w:after="0"/>
              <w:rPr>
                <w:sz w:val="20"/>
                <w:szCs w:val="20"/>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1479 N Clinton Ave</w:t>
            </w:r>
          </w:p>
        </w:tc>
      </w:tr>
      <w:tr>
        <w:trPr>
          <w:trHeight w:val="410"/>
        </w:trPr>
        <w:tc>
          <w:tcPr>
            <w:tcW w:w="19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Attention:</w:t>
            </w: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Bay Shore, NY 11706</w:t>
            </w:r>
          </w:p>
        </w:tc>
      </w:tr>
      <w:tr>
        <w:trPr>
          <w:trHeight w:val="220"/>
        </w:trPr>
        <w:tc>
          <w:tcPr>
            <w:tcW w:w="19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Email:</w:t>
            </w: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Michael Biancospino, President and General Manager</w:t>
            </w:r>
          </w:p>
        </w:tc>
      </w:tr>
      <w:tr>
        <w:trPr>
          <w:trHeight w:val="216"/>
        </w:trPr>
        <w:tc>
          <w:tcPr>
            <w:tcW w:w="1900" w:type="dxa"/>
            <w:vAlign w:val="bottom"/>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michael.biancospino@airindustriesgroup.com</w:t>
            </w:r>
          </w:p>
        </w:tc>
      </w:tr>
      <w:tr>
        <w:trPr>
          <w:trHeight w:val="216"/>
        </w:trPr>
        <w:tc>
          <w:tcPr>
            <w:tcW w:w="1900" w:type="dxa"/>
            <w:vAlign w:val="bottom"/>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a simultaneous copy to:</w:t>
            </w:r>
          </w:p>
        </w:tc>
      </w:tr>
      <w:tr>
        <w:trPr>
          <w:trHeight w:val="234"/>
        </w:trPr>
        <w:tc>
          <w:tcPr>
            <w:tcW w:w="1900" w:type="dxa"/>
            <w:vAlign w:val="bottom"/>
          </w:tcPr>
          <w:p>
            <w:pPr>
              <w:spacing w:after="0"/>
              <w:rPr>
                <w:sz w:val="20"/>
                <w:szCs w:val="20"/>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Scott.Glassman@airindustdesgroup.com</w:t>
            </w:r>
          </w:p>
        </w:tc>
      </w:tr>
      <w:tr>
        <w:trPr>
          <w:trHeight w:val="655"/>
        </w:trPr>
        <w:tc>
          <w:tcPr>
            <w:tcW w:w="190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ind w:left="368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333" w:right="339" w:bottom="1440" w:gutter="0" w:footer="0" w:header="0"/>
        </w:sectPr>
      </w:pPr>
    </w:p>
    <w:bookmarkStart w:id="10" w:name="page11"/>
    <w:bookmarkEnd w:id="10"/>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mailed by certified or registered mail or sent by hand or overnight courier service shall be deemed to have been given when received.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or other communications delivered by one Party to the other Party hereunder may be delivered or furnished by electronic communications (including email) pursuant to procedures set forth in Section 15(d) or othe1wise approved by the Parties.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Parties otherwise agree, Notices and other communications sent by email shall be deemed received upon the sending Party’s receipt of an acknowledgment from the intended recipient (such as by the “return receipt requested” function, as available, return email or other written acknowledgment),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such notice, email or other communication is not sent during the receiving Party’s normal business hours, such notice, email or communication shall be deemed to have been sent at the receiving Party’s opening of business on the next Business Day.</w:t>
      </w:r>
    </w:p>
    <w:p>
      <w:pPr>
        <w:spacing w:after="0" w:line="179"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Further Assurances. </w:t>
      </w:r>
      <w:r>
        <w:rPr>
          <w:rFonts w:ascii="Times New Roman" w:cs="Times New Roman" w:eastAsia="Times New Roman" w:hAnsi="Times New Roman"/>
          <w:sz w:val="18"/>
          <w:szCs w:val="18"/>
          <w:color w:val="auto"/>
        </w:rPr>
        <w:t>The Borrower shall execute and deliver such additional documents, instruments, conveyances and assurances and take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actions as may be reasonably required to cany out the provisions hereof and give effect to the transactions contemplated hereby.</w:t>
      </w:r>
    </w:p>
    <w:p>
      <w:pPr>
        <w:spacing w:after="0" w:line="154"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term or provision of this Note is invalid, illegal or unenforceable in any jurisdiction, such invalidity, illegality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unenforceability will not affect any other term or provision of this Note or invalidate or render unenforceable such term or provision in any other jurisdiction.</w:t>
      </w:r>
    </w:p>
    <w:p>
      <w:pPr>
        <w:spacing w:after="0" w:line="170"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All references in this Note to</w:t>
      </w:r>
      <w:r>
        <w:rPr>
          <w:rFonts w:ascii="Times New Roman" w:cs="Times New Roman" w:eastAsia="Times New Roman" w:hAnsi="Times New Roman"/>
          <w:sz w:val="18"/>
          <w:szCs w:val="18"/>
          <w:b w:val="1"/>
          <w:bCs w:val="1"/>
          <w:color w:val="auto"/>
        </w:rPr>
        <w:t xml:space="preserve"> “Business Day” </w:t>
      </w:r>
      <w:r>
        <w:rPr>
          <w:rFonts w:ascii="Times New Roman" w:cs="Times New Roman" w:eastAsia="Times New Roman" w:hAnsi="Times New Roman"/>
          <w:sz w:val="18"/>
          <w:szCs w:val="18"/>
          <w:color w:val="auto"/>
        </w:rPr>
        <w:t>means a day of the week other than a Saturday, Sunday or any other day 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banks in the City of New York are authorized or required by law to close. Should any interest or other amounts become due and payable on any day other than a Business Day, the payment shall be extended to the next Business Day, and interest shall continue to accrue at the applicable rate until such payment is made.</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Note, and any claim, controversy, dispute or cause of action (whether in tort, contract or otherwise) based upon, arising 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 in any way relating to this Note and the transactions contemplated herby shall be governed by the laws of the State of New York without regard to any conflicts of law principles applied in that State that would require application of any other law.</w:t>
      </w:r>
    </w:p>
    <w:p>
      <w:pPr>
        <w:spacing w:after="0" w:line="1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t>IN WITNESS WHEREOF, the undersigned has executed this Note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 INDUSTRIES MACHINING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Acting CEO and President</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6"/>
    </w:lvl>
  </w:abstractNum>
  <w:abstractNum w:abstractNumId="4">
    <w:nsid w:val="515F007C"/>
    <w:multiLevelType w:val="hybridMultilevel"/>
    <w:lvl w:ilvl="0">
      <w:lvlJc w:val="left"/>
      <w:lvlText w:val="%1."/>
      <w:numFmt w:val="upperLetter"/>
      <w:start w:val="1"/>
    </w:lvl>
  </w:abstractNum>
  <w:abstractNum w:abstractNumId="5">
    <w:nsid w:val="5BD062C2"/>
    <w:multiLevelType w:val="hybridMultilevel"/>
    <w:lvl w:ilvl="0">
      <w:lvlJc w:val="left"/>
      <w:lvlText w:val="%1."/>
      <w:numFmt w:val="decimal"/>
      <w:start w:val="1"/>
    </w:lvl>
    <w:lvl w:ilvl="1">
      <w:lvlJc w:val="left"/>
      <w:lvlText w:val="(%2)"/>
      <w:numFmt w:val="lowerLetter"/>
      <w:start w:val="1"/>
    </w:lvl>
  </w:abstractNum>
  <w:abstractNum w:abstractNumId="6">
    <w:nsid w:val="12200854"/>
    <w:multiLevelType w:val="hybridMultilevel"/>
    <w:lvl w:ilvl="0">
      <w:lvlJc w:val="left"/>
      <w:lvlText w:val="%1."/>
      <w:numFmt w:val="decimal"/>
      <w:start w:val="4"/>
    </w:lvl>
    <w:lvl w:ilvl="1">
      <w:lvlJc w:val="left"/>
      <w:lvlText w:val="(%2)"/>
      <w:numFmt w:val="lowerLetter"/>
      <w:start w:val="1"/>
    </w:lvl>
  </w:abstractNum>
  <w:abstractNum w:abstractNumId="7">
    <w:nsid w:val="4DB127F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
    <w:nsid w:val="216231B"/>
    <w:multiLevelType w:val="hybridMultilevel"/>
    <w:lvl w:ilvl="0">
      <w:lvlJc w:val="left"/>
      <w:lvlText w:val="%1."/>
      <w:numFmt w:val="decimal"/>
      <w:start w:val="1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2"/>
    </w:lvl>
  </w:abstractNum>
  <w:abstractNum w:abstractNumId="11">
    <w:nsid w:val="66EF438D"/>
    <w:multiLevelType w:val="hybridMultilevel"/>
    <w:lvl w:ilvl="0">
      <w:lvlJc w:val="left"/>
      <w:lvlText w:val="%1."/>
      <w:numFmt w:val="decimal"/>
      <w:start w:val="1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2026-06-12T15:43:01Z</dcterms:created>
  <dcterms:modified xsi:type="dcterms:W3CDTF">2026-06-12T15:43:01Z</dcterms:modified>
</cp:coreProperties>
</file>