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196-8k_air.htm"/>
      <w:bookmarkStart w:id="1" w:name="ksea03001968k_ai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731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31,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Air Industries Group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731"/>
            <w:bookmarkEnd w:id="6"/>
            <w:r>
              <w:rPr>
                <w:rFonts w:ascii="Times New Roman;Times;Serif" w:hAnsi="Times New Roman;Times;Serif"/>
                <w:b/>
                <w:sz w:val="20"/>
              </w:rPr>
              <w:t>001-35927</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shd w:fill="FFFFFF" w:val="clear"/>
              </w:rPr>
            </w:pPr>
            <w:bookmarkStart w:id="7" w:name="xdx_90D_edei--EntityTaxIdentificationNum"/>
            <w:bookmarkEnd w:id="7"/>
            <w:r>
              <w:rPr>
                <w:rFonts w:ascii="Times New Roman;Times;Serif" w:hAnsi="Times New Roman;Times;Serif"/>
                <w:b/>
                <w:sz w:val="20"/>
                <w:shd w:fill="FFFFFF" w:val="clear"/>
              </w:rPr>
              <w:t>80-0948413</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435" w:type="dxa"/>
        <w:jc w:val="left"/>
        <w:tblInd w:w="0" w:type="dxa"/>
        <w:tblLayout w:type="fixed"/>
        <w:tblCellMar>
          <w:top w:w="0" w:type="dxa"/>
          <w:left w:w="0" w:type="dxa"/>
          <w:bottom w:w="28" w:type="dxa"/>
          <w:right w:w="0" w:type="dxa"/>
        </w:tblCellMar>
      </w:tblPr>
      <w:tblGrid>
        <w:gridCol w:w="3485"/>
        <w:gridCol w:w="60"/>
        <w:gridCol w:w="890"/>
      </w:tblGrid>
      <w:tr>
        <w:trPr/>
        <w:tc>
          <w:tcPr>
            <w:tcW w:w="3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5_edei--EntityAddressAddressLine1_"/>
            <w:bookmarkEnd w:id="8"/>
            <w:r>
              <w:rPr>
                <w:rFonts w:ascii="Times New Roman;Times;Serif" w:hAnsi="Times New Roman;Times;Serif"/>
                <w:b/>
                <w:sz w:val="20"/>
              </w:rPr>
              <w:t xml:space="preserve">1460 Fifth Avenue, </w:t>
            </w:r>
            <w:bookmarkStart w:id="9" w:name="xdx_90A_edei--EntityAddressCityOrTown_c2"/>
            <w:bookmarkEnd w:id="9"/>
            <w:r>
              <w:rPr>
                <w:rFonts w:ascii="Times New Roman;Times;Serif" w:hAnsi="Times New Roman;Times;Serif"/>
                <w:b/>
                <w:sz w:val="20"/>
              </w:rPr>
              <w:t>Bay Shore</w:t>
            </w:r>
            <w:r>
              <w:rPr>
                <w:rFonts w:ascii="Times New Roman;Times;Serif" w:hAnsi="Times New Roman;Times;Serif"/>
                <w:b/>
                <w:sz w:val="20"/>
                <w:shd w:fill="FFFFFF" w:val="clear"/>
              </w:rPr>
              <w:t xml:space="preserve">, </w:t>
            </w:r>
            <w:bookmarkStart w:id="10" w:name="xdx_90A_edei--EntityAddressStateOrProvin"/>
            <w:bookmarkEnd w:id="10"/>
            <w:r>
              <w:rPr>
                <w:rFonts w:ascii="Times New Roman;Times;Serif" w:hAnsi="Times New Roman;Times;Serif"/>
                <w:b/>
                <w:sz w:val="20"/>
              </w:rPr>
              <w:t>New York</w:t>
            </w:r>
          </w:p>
        </w:tc>
        <w:tc>
          <w:tcPr>
            <w:tcW w:w="60" w:type="dxa"/>
            <w:tcBorders/>
            <w:tcMar>
              <w:bottom w:w="0" w:type="dxa"/>
            </w:tcMar>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6_edei--EntityAddressPostalZipCode"/>
            <w:bookmarkEnd w:id="11"/>
            <w:r>
              <w:rPr>
                <w:rFonts w:ascii="Times New Roman;Times;Serif" w:hAnsi="Times New Roman;Times;Serif"/>
                <w:b/>
                <w:sz w:val="20"/>
              </w:rPr>
              <w:t>11706</w:t>
            </w:r>
          </w:p>
        </w:tc>
      </w:tr>
      <w:tr>
        <w:trPr/>
        <w:tc>
          <w:tcPr>
            <w:tcW w:w="348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A_edei--CityAreaCode_c20260731__20"/>
      <w:bookmarkEnd w:id="12"/>
      <w:r>
        <w:rPr>
          <w:rFonts w:ascii="Times New Roman;Times;Serif" w:hAnsi="Times New Roman;Times;Serif"/>
          <w:b/>
          <w:i w:val="false"/>
          <w:caps w:val="false"/>
          <w:smallCaps w:val="false"/>
          <w:sz w:val="20"/>
        </w:rPr>
        <w:t>631) </w:t>
      </w:r>
      <w:bookmarkStart w:id="13" w:name="xdx_906_edei--LocalPhoneNumber_c20260731"/>
      <w:bookmarkEnd w:id="13"/>
      <w:r>
        <w:rPr>
          <w:rFonts w:ascii="Times New Roman;Times;Serif" w:hAnsi="Times New Roman;Times;Serif"/>
          <w:b/>
          <w:i w:val="false"/>
          <w:caps w:val="false"/>
          <w:smallCaps w:val="false"/>
          <w:sz w:val="20"/>
        </w:rPr>
        <w:t>968-5000</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2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485"/>
        <w:gridCol w:w="60"/>
        <w:gridCol w:w="1610"/>
        <w:gridCol w:w="60"/>
        <w:gridCol w:w="3710"/>
      </w:tblGrid>
      <w:tr>
        <w:trPr/>
        <w:tc>
          <w:tcPr>
            <w:tcW w:w="3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4_edei--Security12bTitle_c20260731"/>
            <w:bookmarkEnd w:id="18"/>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TradingSymbol_c20260731__2"/>
            <w:bookmarkEnd w:id="19"/>
            <w:r>
              <w:rPr>
                <w:rFonts w:ascii="Times New Roman;Times;Serif" w:hAnsi="Times New Roman;Times;Serif"/>
                <w:sz w:val="20"/>
              </w:rPr>
              <w:t>AIRI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SecurityExchangeName_c2026"/>
            <w:bookmarkEnd w:id="20"/>
            <w:r>
              <w:rPr>
                <w:rFonts w:ascii="Times New Roman;Times;Serif" w:hAnsi="Times New Roman;Times;Serif"/>
                <w:sz w:val="20"/>
              </w:rPr>
              <w:t xml:space="preserve">NYSE American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Amended and Restated Agreement and Plan of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Air Industries Group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entered into an amendment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Amended and Restated Agreement and Plan of Merger, dated as of July 2, 2026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Tenax Aerospace Acquisition, LLC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and Transitory Air Sub LLC, which amended the Merger Agreement. The Amendment, a copy of which is attached hereto as Exhibit 2.1, extends, from September 30, 2026, to November 30, 2026, the Outside Date (as defined in the Merger Agreement). The Merger Agreement contains customary termination rights for the benefit of AIR and Tenax, including the right to terminate the Merger Agreement if the Closing (as defined in the Merger Agreement) does not occur on or before the Outside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AIR issued a press release announcing the execution of the Amendment. A copy of the press release is attached as Exhibit 99.1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to this Current Report on Form 8-K,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under that section, and shall not be deemed to be incorporated by reference into any filing of AIR under the Securities Act or the Exchange Act,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9210" w:type="dxa"/>
            <w:gridSpan w:val="2"/>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019601ex2-1.htm">
              <w:r>
                <w:rPr>
                  <w:rStyle w:val="InternetLink"/>
                  <w:rFonts w:ascii="Times New Roman;Times;Serif" w:hAnsi="Times New Roman;Times;Serif"/>
                  <w:sz w:val="20"/>
                </w:rPr>
                <w:t>Amendment to Amended and Restated Agreement and Plan of Merger, by and among Air Industries Group, a Nevada corporation (“AIR”), Tenax Aerospace Acquisition, LLC, a Delaware limited liability company, and Transitory Air Sub LLC, a Delaware limited liability company and wholly owned subsidiary of AIR.</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9210" w:type="dxa"/>
            <w:gridSpan w:val="2"/>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30019601ex99-1.htm">
              <w:r>
                <w:rPr>
                  <w:rStyle w:val="InternetLink"/>
                  <w:rFonts w:ascii="Times New Roman;Times;Serif" w:hAnsi="Times New Roman;Times;Serif"/>
                  <w:sz w:val="20"/>
                </w:rPr>
                <w:t>Press Release of Air Industries Group, dated August 3,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not intended to, and does not constitute or form part of, an offer, invitation or the solicitation of an offer or an invitation to purchase, otherwise acquire, subscribe for, sell or otherwise dispose of any securities or the solicitation of any vote or approval in any jurisdiction pursuant to the transactions which are the subject of the Merger Agreement or otherwise, nor shall there be any sale, issuance or transfer of securities in any jurisdiction in contravention of applicable law. No offer of securities shall be made except by means of a prospectus meeting the requirements of Section 10 of the Securities Act or pursuant to an exemption from, or in a transaction not subject to, such registration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Section 27A of the Securities Act and Section 21E of the Exchange Act, which are made pursuant to the safe harbor provisions of the Private Securities Litigation Reform Act of 1995, as amended. These statements may reflect AIR’s expectations, beliefs, hopes, intentions or strategies regarding, among other things, the Transactions (as defined in the Merger Agreement) between AIR and Tenax, the expected timetable for completing the Transactions, the benefits and synergies of the Transactions and future opportunities for the combined company, as well as other statements that are other than historical fact,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AIR can give no assurance that its expectations will be attained. AIR’s actual results, liquidity and financial condition may differ from the anticipated results, liquidity and financial condition indicated in these forward-looking statements. AIR cautions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AIR’s actual results to differ, possibly materially, from expectations or estimates reflected in such forward-looking statements, including, but without limitation: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170"/>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ability to consummate the Transactions and to meet expectations regarding the timing and completion thereof;</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satisfaction or waiver of the conditions to the completion of the Transactions, including the receipt of all required regulatory approvals or clearances in a timely manner and on terms acceptable to AIR;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parties may be unable to achieve the expected strategic, financial and other benefits of the Transactions within the expected time-frames or at all;</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businesses will not be integrated successfully or that integration may be more difficult, time-consuming or costly than expected;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operating costs, customer loss and business disruption (including, without limitation, difficulties in maintaining relationships with employees, customers, clients or suppliers) may be greater than expected following the Transactions;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AIR will not obtain the required AIR Stockholder Approvals (as defined in the Merger Agreement); and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market conditions.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and uncertainties are more fully discussed in the risk factors identified in “Item 1A. Risk Factors” in Part I of AIR’s most recently filed Annual Report on Form 10-K, and as may be identified in AIR’s Quarterly Reports on Form 10-Q and Current Reports on Form 8-K. Except to the extent required by law, AIR expressly disclaims any obligation to release publicly any updates or revisions to any forward-looking statements contained herein to reflect any change in AIR’s expectations with regard thereto or change in events, conditions or circumstances on which any statement is based.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760"/>
        <w:gridCol w:w="320"/>
        <w:gridCol w:w="3695"/>
      </w:tblGrid>
      <w:tr>
        <w:trPr/>
        <w:tc>
          <w:tcPr>
            <w:tcW w:w="1760"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AIR INDUSTRIES GROUP</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Glassman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Glassman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2" w:name="ea030019601ex2-1.htm"/>
      <w:bookmarkStart w:id="23" w:name="ksea030019601ex21"/>
      <w:bookmarkEnd w:id="22"/>
      <w:bookmarkEnd w:id="23"/>
      <w:r>
        <w:rPr>
          <w:rFonts w:ascii="Times New Roman;Times;Serif" w:hAnsi="Times New Roman;Times;Serif"/>
          <w:b/>
          <w:i w:val="false"/>
          <w:caps w:val="false"/>
          <w:smallCaps w:val="false"/>
          <w:sz w:val="20"/>
        </w:rPr>
        <w:t>Exhibit 2.1</w:t>
      </w:r>
      <w:r>
        <w:br w:type="page"/>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AMENDED AND RESTATED AGREEMENT AND PLAN OF MERGER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dated as of July 31,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Amended and Restated Agreement and Plan of Merger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2, 2026, among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Air Industries Group, a Nevada corporation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and Transitory Air Sub LLC, a Delaware limited liability company and wholly owned Subsidiary of AIR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9.04 of the Agreement provides that (a) the Agreement may be amended by action taken by or on behalf of the Tenax Board, the AIR Board and the Board of Directors of Merger Sub at any time prior to the Effective Time and (b) the Agreement may not be amended except by an instrument in writing signed by each of the parties to the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Tenax Board, the AIR Board and the Board of Directors of Merger Sub have each approved this Amendment;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parties to the Agreement desires to amend the Agreement as set forth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aforesaid premises and of the mutual representations, warranties and covenants contained herein, and for other good and valuable consideration, the receipt and sufficiency of which are hereby acknowledged, intending to be legally bound, the parties hereto hereby agree as set forth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Definitions</w:t>
      </w:r>
      <w:r>
        <w:rPr>
          <w:rFonts w:ascii="Times New Roman;Times;Serif" w:hAnsi="Times New Roman;Times;Serif"/>
          <w:b w:val="false"/>
          <w:i w:val="false"/>
          <w:caps w:val="false"/>
          <w:smallCaps w:val="false"/>
          <w:sz w:val="20"/>
        </w:rPr>
        <w:t>. Capitalized terms used herein without definition shall have the meanings ascribed to such terms in the Agreement unless otherwise indicated.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Amendment to Agreement</w:t>
      </w:r>
      <w:r>
        <w:rPr>
          <w:rFonts w:ascii="Times New Roman;Times;Serif" w:hAnsi="Times New Roman;Times;Serif"/>
          <w:b w:val="false"/>
          <w:i w:val="false"/>
          <w:caps w:val="false"/>
          <w:smallCaps w:val="false"/>
          <w:sz w:val="20"/>
        </w:rPr>
        <w:t>. The definition of “Outside Date” set forth in Section 1.01 of the Agreement is hereby amended and restated in its entirety as follows: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means November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Representations and Warranties. </w:t>
      </w:r>
      <w:r>
        <w:rPr>
          <w:rFonts w:ascii="Times New Roman;Times;Serif" w:hAnsi="Times New Roman;Times;Serif"/>
          <w:b w:val="false"/>
          <w:i w:val="false"/>
          <w:caps w:val="false"/>
          <w:smallCaps w:val="false"/>
          <w:sz w:val="20"/>
        </w:rPr>
        <w:t>Each party hereto hereby represents and warrants that: (a) it has all necessary corporate or limited liability company power and authority to enter into, and to perform its obligations under, this Amendment, (b) the execution, delivery and performance of this Amendment by such party has been duly and validly authorized by all necessary corporate or limited liability company action, and no other corporate or limited liability company proceedings on the part of such party are necessary to authorize this Amendment and (c) this Amendment has been duly executed and delivered by such party and, assuming due execution and delivery by all other parties, constitutes the valid and binding agreement of such party, enforceable against such party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General Provisions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All of the provisions of this Amendment shall be effective as of the date of this Amendment. Except to the extent specifically amended hereby, all of the terms of the Agreement shall remain unchanged and in full force and effect, and, to the extent applicable, such terms shall apply to this Amendment as if it formed a part of the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val="false"/>
          <w:i w:val="false"/>
          <w:caps w:val="false"/>
          <w:smallCaps w:val="false"/>
          <w:sz w:val="20"/>
        </w:rPr>
        <w:t>After giving effect to this Amendment, each reference in the Agreement to “this Agreement”, “hereof”, “hereunder” or words of like import referring to the Agreement shall refer to the Agreement as amended by this Amendment. For the avoidance of doubt, all references in the Agreement to “the date hereof” or “the date of this Agreement” shall refer to July 2,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w:t>
      </w:r>
      <w:r>
        <w:rPr>
          <w:rFonts w:ascii="Times New Roman;Times;Serif" w:hAnsi="Times New Roman;Times;Serif"/>
          <w:b w:val="false"/>
          <w:i w:val="false"/>
          <w:caps w:val="false"/>
          <w:smallCaps w:val="false"/>
          <w:sz w:val="20"/>
        </w:rPr>
        <w:t>This Amendment and the Agreement (including the exhibits and schedules to the Agreement, including the AIR Disclosure Letter and the 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val="false"/>
          <w:i w:val="false"/>
          <w:caps w:val="false"/>
          <w:smallCaps w:val="false"/>
          <w:sz w:val="20"/>
        </w:rPr>
        <w:t xml:space="preserve">The provisions of Article X (General Provisions) of the Agreement shall, to the extent not already set forth in this Amendment,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this Amendment, and to the Agreement as modified by this Amendment, taken together as a single agreement, reflecting the terms as modified hereby.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Tenax, AIR and Merger Sub have caused this Amendment to be executed as of the date first written above by their respective officers thereunto duly authorized.</w:t>
      </w:r>
    </w:p>
    <w:p>
      <w:pPr>
        <w:pStyle w:val="TextBody"/>
        <w:bidi w:val="0"/>
        <w:spacing w:before="0" w:after="0"/>
        <w:ind w:left="4752" w:right="0" w:hanging="432"/>
        <w:jc w:val="left"/>
        <w:rPr>
          <w:caps/>
        </w:rPr>
      </w:pPr>
      <w:r>
        <w:rPr>
          <w:caps/>
        </w:rPr>
        <w:t> </w:t>
      </w:r>
    </w:p>
    <w:tbl>
      <w:tblPr>
        <w:tblW w:w="4893" w:type="dxa"/>
        <w:jc w:val="left"/>
        <w:tblInd w:w="0" w:type="dxa"/>
        <w:tblLayout w:type="fixed"/>
        <w:tblCellMar>
          <w:top w:w="0" w:type="dxa"/>
          <w:left w:w="0" w:type="dxa"/>
          <w:bottom w:w="0" w:type="dxa"/>
          <w:right w:w="0" w:type="dxa"/>
        </w:tblCellMar>
      </w:tblPr>
      <w:tblGrid>
        <w:gridCol w:w="75"/>
        <w:gridCol w:w="482"/>
        <w:gridCol w:w="938"/>
        <w:gridCol w:w="3398"/>
      </w:tblGrid>
      <w:tr>
        <w:trPr/>
        <w:tc>
          <w:tcPr>
            <w:tcW w:w="75" w:type="dxa"/>
            <w:tcBorders/>
            <w:vAlign w:val="center"/>
          </w:tcPr>
          <w:p>
            <w:pPr>
              <w:pStyle w:val="TableContents"/>
              <w:bidi w:val="0"/>
              <w:spacing w:before="0" w:after="283"/>
              <w:ind w:left="0" w:right="0" w:hanging="0"/>
              <w:jc w:val="left"/>
              <w:rPr/>
            </w:pPr>
            <w:r>
              <w:rPr/>
              <w:t> </w:t>
            </w:r>
          </w:p>
        </w:tc>
        <w:tc>
          <w:tcPr>
            <w:tcW w:w="4818" w:type="dxa"/>
            <w:gridSpan w:val="3"/>
            <w:tcBorders/>
            <w:vAlign w:val="center"/>
          </w:tcPr>
          <w:p>
            <w:pPr>
              <w:pStyle w:val="TableContents"/>
              <w:bidi w:val="0"/>
              <w:spacing w:before="0" w:after="283"/>
              <w:ind w:left="0" w:right="0" w:hanging="0"/>
              <w:jc w:val="left"/>
              <w:rPr>
                <w:rFonts w:ascii="Times New Roman;Times;Serif" w:hAnsi="Times New Roman;Times;Serif"/>
                <w:b/>
                <w:caps/>
              </w:rPr>
            </w:pPr>
            <w:r>
              <w:rPr>
                <w:rFonts w:ascii="Times New Roman;Times;Serif" w:hAnsi="Times New Roman;Times;Serif"/>
                <w:b/>
                <w:caps/>
              </w:rPr>
              <w:t>TENAX AEROSPACE ACQUISITION, LLC</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 </w:t>
            </w:r>
          </w:p>
        </w:tc>
        <w:tc>
          <w:tcPr>
            <w:tcW w:w="3398"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By:</w:t>
            </w:r>
          </w:p>
        </w:tc>
        <w:tc>
          <w:tcPr>
            <w:tcW w:w="4336" w:type="dxa"/>
            <w:gridSpan w:val="2"/>
            <w:tcBorders>
              <w:bottom w:val="single" w:sz="12" w:space="0" w:color="000000"/>
            </w:tcBorders>
            <w:tcMar>
              <w:bottom w:w="28" w:type="dxa"/>
            </w:tcMar>
            <w:vAlign w:val="center"/>
          </w:tcPr>
          <w:p>
            <w:pPr>
              <w:pStyle w:val="TableContents"/>
              <w:bidi w:val="0"/>
              <w:spacing w:before="0" w:after="283"/>
              <w:ind w:left="0" w:right="0" w:hanging="0"/>
              <w:jc w:val="left"/>
              <w:rPr/>
            </w:pPr>
            <w:r>
              <w:rPr/>
              <w:t>/s/ Thomas Foley</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Name:</w:t>
            </w:r>
          </w:p>
        </w:tc>
        <w:tc>
          <w:tcPr>
            <w:tcW w:w="3398" w:type="dxa"/>
            <w:tcBorders/>
            <w:vAlign w:val="center"/>
          </w:tcPr>
          <w:p>
            <w:pPr>
              <w:pStyle w:val="TableContents"/>
              <w:bidi w:val="0"/>
              <w:spacing w:before="0" w:after="283"/>
              <w:ind w:left="0" w:right="0" w:hanging="0"/>
              <w:jc w:val="left"/>
              <w:rPr/>
            </w:pPr>
            <w:r>
              <w:rPr/>
              <w:t>Thomas C. Foley</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Title:</w:t>
            </w:r>
          </w:p>
        </w:tc>
        <w:tc>
          <w:tcPr>
            <w:tcW w:w="3398" w:type="dxa"/>
            <w:tcBorders/>
            <w:vAlign w:val="center"/>
          </w:tcPr>
          <w:p>
            <w:pPr>
              <w:pStyle w:val="TableContents"/>
              <w:bidi w:val="0"/>
              <w:spacing w:before="0" w:after="283"/>
              <w:ind w:left="0" w:right="0" w:hanging="0"/>
              <w:jc w:val="left"/>
              <w:rPr/>
            </w:pPr>
            <w:r>
              <w:rPr/>
              <w:t>Chairman</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 </w:t>
            </w:r>
          </w:p>
        </w:tc>
        <w:tc>
          <w:tcPr>
            <w:tcW w:w="3398"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818" w:type="dxa"/>
            <w:gridSpan w:val="3"/>
            <w:tcBorders/>
            <w:vAlign w:val="center"/>
          </w:tcPr>
          <w:p>
            <w:pPr>
              <w:pStyle w:val="TableContents"/>
              <w:bidi w:val="0"/>
              <w:spacing w:before="0" w:after="283"/>
              <w:ind w:left="0" w:right="0" w:hanging="0"/>
              <w:jc w:val="left"/>
              <w:rPr>
                <w:b/>
              </w:rPr>
            </w:pPr>
            <w:r>
              <w:rPr>
                <w:b/>
              </w:rPr>
              <w:t>AIR INDUSTRIES GROUP</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 </w:t>
            </w:r>
          </w:p>
        </w:tc>
        <w:tc>
          <w:tcPr>
            <w:tcW w:w="3398"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By:</w:t>
            </w:r>
          </w:p>
        </w:tc>
        <w:tc>
          <w:tcPr>
            <w:tcW w:w="4336" w:type="dxa"/>
            <w:gridSpan w:val="2"/>
            <w:tcBorders>
              <w:bottom w:val="single" w:sz="12" w:space="0" w:color="000000"/>
            </w:tcBorders>
            <w:tcMar>
              <w:bottom w:w="28" w:type="dxa"/>
            </w:tcMar>
            <w:vAlign w:val="center"/>
          </w:tcPr>
          <w:p>
            <w:pPr>
              <w:pStyle w:val="TableContents"/>
              <w:bidi w:val="0"/>
              <w:spacing w:before="0" w:after="283"/>
              <w:ind w:left="0" w:right="0" w:hanging="0"/>
              <w:jc w:val="left"/>
              <w:rPr/>
            </w:pPr>
            <w:r>
              <w:rPr/>
              <w:t>/s/ Scott Glassman</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Name:</w:t>
            </w:r>
          </w:p>
        </w:tc>
        <w:tc>
          <w:tcPr>
            <w:tcW w:w="3398" w:type="dxa"/>
            <w:tcBorders/>
            <w:vAlign w:val="center"/>
          </w:tcPr>
          <w:p>
            <w:pPr>
              <w:pStyle w:val="TableContents"/>
              <w:bidi w:val="0"/>
              <w:spacing w:before="0" w:after="283"/>
              <w:ind w:left="0" w:right="0" w:hanging="0"/>
              <w:jc w:val="left"/>
              <w:rPr/>
            </w:pPr>
            <w:r>
              <w:rPr/>
              <w:t>Scott Glassman</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Title:</w:t>
            </w:r>
          </w:p>
        </w:tc>
        <w:tc>
          <w:tcPr>
            <w:tcW w:w="3398" w:type="dxa"/>
            <w:tcBorders/>
            <w:vAlign w:val="center"/>
          </w:tcPr>
          <w:p>
            <w:pPr>
              <w:pStyle w:val="TableContents"/>
              <w:bidi w:val="0"/>
              <w:spacing w:before="0" w:after="283"/>
              <w:ind w:left="0" w:right="0" w:hanging="0"/>
              <w:jc w:val="left"/>
              <w:rPr/>
            </w:pPr>
            <w:r>
              <w:rPr/>
              <w:t>Acting CEO and President</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 </w:t>
            </w:r>
          </w:p>
        </w:tc>
        <w:tc>
          <w:tcPr>
            <w:tcW w:w="3398"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818" w:type="dxa"/>
            <w:gridSpan w:val="3"/>
            <w:tcBorders/>
            <w:vAlign w:val="center"/>
          </w:tcPr>
          <w:p>
            <w:pPr>
              <w:pStyle w:val="TableContents"/>
              <w:bidi w:val="0"/>
              <w:spacing w:before="0" w:after="283"/>
              <w:ind w:left="0" w:right="0" w:hanging="0"/>
              <w:jc w:val="left"/>
              <w:rPr>
                <w:b/>
              </w:rPr>
            </w:pPr>
            <w:r>
              <w:rPr>
                <w:b/>
              </w:rPr>
              <w:t xml:space="preserve">TRANSITORY AIR SUB LLC </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 </w:t>
            </w:r>
          </w:p>
        </w:tc>
        <w:tc>
          <w:tcPr>
            <w:tcW w:w="3398"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By:</w:t>
            </w:r>
          </w:p>
        </w:tc>
        <w:tc>
          <w:tcPr>
            <w:tcW w:w="4336" w:type="dxa"/>
            <w:gridSpan w:val="2"/>
            <w:tcBorders>
              <w:bottom w:val="single" w:sz="12" w:space="0" w:color="000000"/>
            </w:tcBorders>
            <w:tcMar>
              <w:bottom w:w="28" w:type="dxa"/>
            </w:tcMar>
            <w:vAlign w:val="center"/>
          </w:tcPr>
          <w:p>
            <w:pPr>
              <w:pStyle w:val="TableContents"/>
              <w:bidi w:val="0"/>
              <w:spacing w:before="0" w:after="283"/>
              <w:ind w:left="0" w:right="0" w:hanging="0"/>
              <w:jc w:val="left"/>
              <w:rPr/>
            </w:pPr>
            <w:r>
              <w:rPr/>
              <w:t>/s/ Scott Glassman</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Name: </w:t>
            </w:r>
          </w:p>
        </w:tc>
        <w:tc>
          <w:tcPr>
            <w:tcW w:w="3398" w:type="dxa"/>
            <w:tcBorders/>
            <w:vAlign w:val="center"/>
          </w:tcPr>
          <w:p>
            <w:pPr>
              <w:pStyle w:val="TableContents"/>
              <w:bidi w:val="0"/>
              <w:spacing w:before="0" w:after="283"/>
              <w:ind w:left="0" w:right="0" w:hanging="0"/>
              <w:jc w:val="left"/>
              <w:rPr/>
            </w:pPr>
            <w:r>
              <w:rPr/>
              <w:t>Scott Glassman</w:t>
            </w:r>
          </w:p>
        </w:tc>
      </w:tr>
      <w:tr>
        <w:trPr/>
        <w:tc>
          <w:tcPr>
            <w:tcW w:w="75" w:type="dxa"/>
            <w:tcBorders/>
            <w:vAlign w:val="center"/>
          </w:tcPr>
          <w:p>
            <w:pPr>
              <w:pStyle w:val="TableContents"/>
              <w:bidi w:val="0"/>
              <w:spacing w:before="0" w:after="283"/>
              <w:ind w:left="0" w:right="0" w:hanging="0"/>
              <w:jc w:val="left"/>
              <w:rPr/>
            </w:pPr>
            <w:r>
              <w:rPr/>
              <w:t> </w:t>
            </w:r>
          </w:p>
        </w:tc>
        <w:tc>
          <w:tcPr>
            <w:tcW w:w="482" w:type="dxa"/>
            <w:tcBorders/>
            <w:vAlign w:val="center"/>
          </w:tcPr>
          <w:p>
            <w:pPr>
              <w:pStyle w:val="TableContents"/>
              <w:bidi w:val="0"/>
              <w:spacing w:before="0" w:after="283"/>
              <w:ind w:left="0" w:right="0" w:hanging="0"/>
              <w:jc w:val="left"/>
              <w:rPr/>
            </w:pPr>
            <w:r>
              <w:rPr/>
              <w:t> </w:t>
            </w:r>
          </w:p>
        </w:tc>
        <w:tc>
          <w:tcPr>
            <w:tcW w:w="938" w:type="dxa"/>
            <w:tcBorders/>
            <w:vAlign w:val="center"/>
          </w:tcPr>
          <w:p>
            <w:pPr>
              <w:pStyle w:val="TableContents"/>
              <w:bidi w:val="0"/>
              <w:spacing w:before="0" w:after="283"/>
              <w:ind w:left="0" w:right="0" w:hanging="0"/>
              <w:jc w:val="left"/>
              <w:rPr/>
            </w:pPr>
            <w:r>
              <w:rPr/>
              <w:t>Title:</w:t>
            </w:r>
          </w:p>
        </w:tc>
        <w:tc>
          <w:tcPr>
            <w:tcW w:w="3398" w:type="dxa"/>
            <w:tcBorders/>
            <w:vAlign w:val="center"/>
          </w:tcPr>
          <w:p>
            <w:pPr>
              <w:pStyle w:val="TableContents"/>
              <w:bidi w:val="0"/>
              <w:spacing w:before="0" w:after="283"/>
              <w:jc w:val="left"/>
              <w:rPr/>
            </w:pPr>
            <w:r>
              <w:rPr/>
              <w:t>President</w:t>
            </w:r>
          </w:p>
        </w:tc>
      </w:tr>
    </w:tbl>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Amendment to the Amended and Restated Agreement and Plan of Merger]</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shd w:fill="FFFFFF" w:val="clear"/>
        <w:bidi w:val="0"/>
        <w:spacing w:before="0" w:after="0"/>
        <w:ind w:left="4680" w:right="0" w:hanging="36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4" w:name="ea030019601ex99-1.htm"/>
      <w:bookmarkStart w:id="25" w:name="ksea0300196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98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7715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 7:00 AM Eastern Daylight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 Announces Amendment, Extending the Amended and Restated Merger Agreement with Tenax Aerospace.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BAY SHORE, N.Y.-- (BUSINESS WIRE) — </w:t>
      </w:r>
      <w:r>
        <w:rPr>
          <w:rFonts w:ascii="Times New Roman;Times;Serif" w:hAnsi="Times New Roman;Times;Serif"/>
          <w:b/>
          <w:i w:val="false"/>
          <w:caps w:val="false"/>
          <w:smallCaps w:val="false"/>
          <w:sz w:val="20"/>
        </w:rPr>
        <w:t>Air Industries Group (“Air Industries” or the “Company”) (NYSE American: AIRI)</w:t>
      </w:r>
      <w:r>
        <w:rPr>
          <w:rFonts w:ascii="Times New Roman;Times;Serif" w:hAnsi="Times New Roman;Times;Serif"/>
          <w:b w:val="false"/>
          <w:i w:val="false"/>
          <w:caps w:val="false"/>
          <w:smallCaps w:val="false"/>
          <w:sz w:val="20"/>
        </w:rPr>
        <w:t>, a leading manufacturer of precision components and assemblies for aerospace and Department of War prime contractors, today announced that the Securities and Exchange Commission (“SEC”) has notified the Company that it will review the Company’s Registration Statement on Form S-4 filed on July 22, 2026 relating to the Company’s pending merger with Tenax Aerospace Acquisition, LLC (“Tenax”).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does not anticipate that the SEC’s review will affect the economic terms of the contemplated merger with Tenax, completing the review process will likely prevent the merger from being closed by September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Accordingly, on July 31, 2026, the parties entered into an Amendment to the Amended and Restated Agreement and Plan of Merger, dated as of July 2, 2026 (the “Merger Agreement”), to extend the “Outside Date” (as defined in the Merger Agreement) by 60 days, from September 30, 2026 to November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Glassman, Acting Chief Executive Officer of Air Industries commented: “</w:t>
      </w:r>
      <w:r>
        <w:rPr>
          <w:rFonts w:ascii="Times New Roman;Times;Serif" w:hAnsi="Times New Roman;Times;Serif"/>
          <w:b w:val="false"/>
          <w:i/>
          <w:caps w:val="false"/>
          <w:smallCaps w:val="false"/>
          <w:sz w:val="20"/>
        </w:rPr>
        <w:t>Although we hoped the SEC would elect not to review the S-4, it is normal for the SEC to review and comment on a Registration Statement. We expect the Registration Statement to be effective prior to the end of the third quarter and anticipate convening our shareholder meeting thereafter and closing the transaction prior to November 30.</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w:t>
      </w:r>
      <w:r>
        <w:rPr>
          <w:rFonts w:ascii="Times New Roman;Times;Serif" w:hAnsi="Times New Roman;Times;Serif"/>
          <w:b/>
          <w:i w:val="false"/>
          <w:smallCaps/>
          <w:sz w:val="20"/>
        </w:rPr>
        <w:t>bout air industries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 is a leading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 quality and extremely reliable products are used in mission critical operations that are essential for the safety of military personnel and civilians.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Section 27A of the Securities Act of 1933 and Section 21E of the Securities Exchange Act of 1934, which are made pursuant to the safe harbor provisions of the Private Securities Litigation Reform Act of 1995, as amended. These statements may reflect the Company’s expectations, beliefs, hopes, intentions or strategies regarding, among other things, the transactions between the Company and Tenax, the expected timetable for completing the transactions, the benefits and synergies of the transactions and future opportunities for the combined company, as well as other statements that are other than historical fact,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The Company can give no assurance that its expectations will be attained. The Company’s actual results, liquidity and financial condition may differ from the anticipated results, liquidity and financial condition indicated in these forward-looking statements. The Company cautions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the Company’s actual results to differ, possibly materially, from expectations or estimates reflected in such forward-looking statements, including, but without limitation:</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parties’ ability to consummate the transactions and to meet expectations regarding the timing and completion thereof;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satisfaction or waiver of the conditions to the completion of the transactions, including the receipt of all required regulatory approvals or clearances in a timely manner and on terms acceptable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 that the parties may be unable to achieve the expected strategic, financial and other benefits of the transactions within the expected timeframes or at all;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 that the businesses will not be integrated successfully or that integration may be more difficult, time-consuming or costly than expected;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 that operating costs, customer loss and business disruption (including, without limitation, difficulties in maintaining relationships with employees, customers, clients or suppliers) may be greater than expected following the transactions;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risk that the Company will not obtain the required Company shareholder approvals for its proposed transaction with Tenax;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4"/>
        <w:gridCol w:w="421"/>
        <w:gridCol w:w="9690"/>
      </w:tblGrid>
      <w:tr>
        <w:trPr/>
        <w:tc>
          <w:tcPr>
            <w:tcW w:w="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w:t>
            </w:r>
          </w:p>
        </w:tc>
        <w:tc>
          <w:tcPr>
            <w:tcW w:w="9690" w:type="dxa"/>
            <w:tcBorders/>
            <w:vAlign w:val="center"/>
          </w:tcPr>
          <w:p>
            <w:pPr>
              <w:pStyle w:val="TableContents"/>
              <w:bidi w:val="0"/>
              <w:spacing w:before="0" w:after="283"/>
              <w:jc w:val="left"/>
              <w:rPr/>
            </w:pPr>
            <w:r>
              <w:rPr/>
              <w:t>general economic and market conditions.</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and uncertainties are more fully discussed in the risk factors identified in “Item 1A. Risk Factors” in Part I of the Company’s most recently filed Annual Report on Form 10-K, and as may be identified in the Company’s Quarterly Reports on Form 10-Q and Current Reports on Form 8-K. Except to the extent required by law,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being made in respect of a proposed business combination involving the Company and Tenax. This press release does not constitute an offer to sell or the solicitation of an offer to buy or subscribe for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will be submitted to the shareholders of the Company for their consideration. The Company has also filed a registration statement on Form S-4, which includes a proxy statement/prospectus and is now under review by the SEC, and intends to file other documents with the SEC regarding the proposed transaction. This press release is not a substitute for any registration statement, proxy statement/prospectus or any other document that the Company may file with the SEC in connection with the proposed transaction. Promptly after the registration statement has been declared effective under the Securities Act of 1933, the Company intends to mail the proxy statement/prospectus and a proxy card to each shareholder entitled to vote at the special meeting relating to the proposed transaction. Investors and security holders of the Company are urged to read the proxy statement/prospectus (including all amendments and supplements thereto) and any other relevant documents relating to the proposed transaction that are filed or will be filed with the SEC carefully and in their entirety when they become available because they contain or will contain important information about the proposed transaction. You may obtain copies of all documents filed with the SEC regarding this transaction, free of charge, at the SEC’s website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and other members of management and employees may be deemed to be participants in the solicitation of proxies in respect of the proposed transaction. Information about the Company’s directors and executive officers is available in the Company’s proxy statement for its 2025 Annual Meeting of Stockholders filed with the SEC on May 5, 2025. Other information regarding the participants in the proxy solicitation and a description of their direct and indirect interests, by security holdings or otherwise, are or will be contained in the proxy statement/prospectus and other relevant materials filed or to be filed with the SEC regarding the merger when they become available. Investors should read the proxy statement/prospectus carefully when it becomes available before making any voting or investment decisions.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Anyone wishing to contact us or send a message can also do so by visiting: www.airindustriesgroup.com/contact-us/.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Glassman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Executive Officer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631-328-7039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3593</Words>
  <Characters>20069</Characters>
  <CharactersWithSpaces>23685</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