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3980" w:right="2100" w:hanging="1869"/>
        <w:spacing w:after="0" w:line="503" w:lineRule="auto"/>
        <w:tabs>
          <w:tab w:leader="none" w:pos="231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2021</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rFonts w:ascii="MS PGothic" w:cs="MS PGothic" w:eastAsia="MS PGothic" w:hAnsi="MS PGothic"/>
          <w:sz w:val="18"/>
          <w:szCs w:val="18"/>
          <w:color w:val="auto"/>
        </w:rPr>
      </w:pPr>
    </w:p>
    <w:p>
      <w:pPr>
        <w:ind w:left="3840" w:right="2100" w:hanging="1741"/>
        <w:spacing w:after="0" w:line="500" w:lineRule="auto"/>
        <w:tabs>
          <w:tab w:leader="none" w:pos="23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 to_______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001-35927</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AIR INDUSTRIES GROUP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ind w:left="2480"/>
              <w:spacing w:after="0"/>
              <w:rPr>
                <w:sz w:val="20"/>
                <w:szCs w:val="20"/>
                <w:color w:val="auto"/>
              </w:rPr>
            </w:pPr>
            <w:r>
              <w:rPr>
                <w:rFonts w:ascii="Arial" w:cs="Arial" w:eastAsia="Arial" w:hAnsi="Arial"/>
                <w:sz w:val="18"/>
                <w:szCs w:val="18"/>
                <w:color w:val="auto"/>
              </w:rPr>
              <w:t>Nevada</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color w:val="auto"/>
              </w:rPr>
              <w:t>80-0948413</w:t>
            </w:r>
          </w:p>
        </w:tc>
      </w:tr>
      <w:tr>
        <w:trPr>
          <w:trHeight w:val="202"/>
        </w:trPr>
        <w:tc>
          <w:tcPr>
            <w:tcW w:w="5520" w:type="dxa"/>
            <w:vAlign w:val="bottom"/>
            <w:tcBorders>
              <w:top w:val="single" w:sz="8" w:color="auto"/>
            </w:tcBorders>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5520" w:type="dxa"/>
            <w:vAlign w:val="bottom"/>
          </w:tcPr>
          <w:p>
            <w:pPr>
              <w:ind w:left="1680"/>
              <w:spacing w:after="0"/>
              <w:rPr>
                <w:sz w:val="20"/>
                <w:szCs w:val="20"/>
                <w:color w:val="auto"/>
              </w:rPr>
            </w:pPr>
            <w:r>
              <w:rPr>
                <w:rFonts w:ascii="Arial" w:cs="Arial" w:eastAsia="Arial" w:hAnsi="Arial"/>
                <w:sz w:val="18"/>
                <w:szCs w:val="18"/>
                <w:color w:val="auto"/>
              </w:rPr>
              <w:t>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1460 Fifth Avenue, Bay Shore, New York 11706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(631) 968-5000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AIRI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NYSE-American</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504" w:right="3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04"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32,077,530 shares of the registrant’s common stock outstanding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0"/>
                <w:szCs w:val="20"/>
                <w:color w:val="auto"/>
              </w:rPr>
            </w:pPr>
          </w:p>
        </w:tc>
      </w:tr>
      <w:tr>
        <w:trPr>
          <w:trHeight w:val="439"/>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PART II.</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9640" w:type="dxa"/>
            <w:vAlign w:val="bottom"/>
            <w:gridSpan w:val="11"/>
            <w:shd w:val="clear" w:color="auto" w:fill="CCEEFF"/>
          </w:tcPr>
          <w:p>
            <w:pPr>
              <w:ind w:left="2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0340" w:type="dxa"/>
            <w:vAlign w:val="bottom"/>
            <w:gridSpan w:val="1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Securities Act, and Section 21E of the Securities Exchange Act of 1934, or Exchange Act. Forward-looking statements are predictive in nature and can be identified by the fact that they do not relate strictly to historical or current facts and generally include words such as “expects,” “anticipates,” “intends,” “plans,” “believes,” “estimates” and similar expressions. Certain of the matters discussed herein concerning, among other items, our operations, cash flows, financial position and economic performance including, in particular, future sales, product demand, competition and the effect of economic conditions, include forward-looking statements.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statements and other projections contained herein expressing opinions about future outcomes and non-historical information, are subject to uncertainties and, therefore, there is no assurance that the outcomes expressed in these statements will be achieved. 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Factors that could cause actual results to differ materially from those reflected in the forward-looking statements include, but are not limited to, those discussed under the heading “Risk Factors” in our Annual Report on Form 10-K for the year ended December 31, 2020, as amended, and elsewhere in this report and the risks discussed in our other filings with the SEC.</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statement, whether as a result of new information, future events or otherwise, except as may be required under the securities laws of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340" w:type="dxa"/>
            <w:vAlign w:val="bottom"/>
            <w:gridSpan w:val="5"/>
          </w:tcPr>
          <w:p>
            <w:pPr>
              <w:jc w:val="center"/>
              <w:ind w:right="308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tcPr>
          <w:p>
            <w:pPr>
              <w:spacing w:after="0"/>
              <w:rPr>
                <w:sz w:val="20"/>
                <w:szCs w:val="20"/>
                <w:color w:val="auto"/>
              </w:rPr>
            </w:pPr>
          </w:p>
        </w:tc>
      </w:tr>
      <w:tr>
        <w:trPr>
          <w:trHeight w:val="432"/>
        </w:trPr>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340" w:type="dxa"/>
            <w:vAlign w:val="bottom"/>
            <w:gridSpan w:val="5"/>
          </w:tcPr>
          <w:p>
            <w:pPr>
              <w:jc w:val="center"/>
              <w:ind w:right="3120"/>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Pr>
          <w:p>
            <w:pPr>
              <w:spacing w:after="0"/>
              <w:rPr>
                <w:sz w:val="24"/>
                <w:szCs w:val="24"/>
                <w:color w:val="auto"/>
              </w:rPr>
            </w:pPr>
          </w:p>
        </w:tc>
      </w:tr>
      <w:tr>
        <w:trPr>
          <w:trHeight w:val="439"/>
        </w:trPr>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196"/>
        </w:trPr>
        <w:tc>
          <w:tcPr>
            <w:tcW w:w="1034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00" w:type="dxa"/>
            <w:vAlign w:val="bottom"/>
            <w:shd w:val="clear" w:color="auto" w:fill="CCEEFF"/>
          </w:tcPr>
          <w:p>
            <w:pPr>
              <w:spacing w:after="0"/>
              <w:rPr>
                <w:sz w:val="17"/>
                <w:szCs w:val="17"/>
                <w:color w:val="auto"/>
              </w:rPr>
            </w:pP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10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9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and six months ended June 30,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Stockholders’ Equity for the three and six months ended June 30,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655"/>
        </w:trPr>
        <w:tc>
          <w:tcPr>
            <w:tcW w:w="4000" w:type="dxa"/>
            <w:vAlign w:val="bottom"/>
            <w:tcBorders>
              <w:top w:val="single" w:sz="8" w:color="0000EE"/>
              <w:bottom w:val="single" w:sz="8" w:color="auto"/>
            </w:tcBorders>
            <w:gridSpan w:val="2"/>
          </w:tcPr>
          <w:p>
            <w:pPr>
              <w:spacing w:after="0"/>
              <w:rPr>
                <w:sz w:val="24"/>
                <w:szCs w:val="24"/>
                <w:color w:val="auto"/>
              </w:rPr>
            </w:pPr>
          </w:p>
        </w:tc>
        <w:tc>
          <w:tcPr>
            <w:tcW w:w="3020" w:type="dxa"/>
            <w:vAlign w:val="bottom"/>
            <w:tcBorders>
              <w:top w:val="single" w:sz="8" w:color="CCEEFF"/>
              <w:bottom w:val="single" w:sz="8" w:color="auto"/>
            </w:tcBorders>
          </w:tcPr>
          <w:p>
            <w:pPr>
              <w:jc w:val="center"/>
              <w:ind w:left="130"/>
              <w:spacing w:after="0"/>
              <w:rPr>
                <w:sz w:val="20"/>
                <w:szCs w:val="20"/>
                <w:color w:val="auto"/>
              </w:rPr>
            </w:pPr>
            <w:r>
              <w:rPr>
                <w:rFonts w:ascii="Arial" w:cs="Arial" w:eastAsia="Arial" w:hAnsi="Arial"/>
                <w:sz w:val="18"/>
                <w:szCs w:val="18"/>
                <w:color w:val="auto"/>
                <w:w w:val="79"/>
              </w:rPr>
              <w:t>1</w:t>
            </w:r>
          </w:p>
        </w:tc>
        <w:tc>
          <w:tcPr>
            <w:tcW w:w="11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$698,000 and $964,000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12,210,000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8,798,000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43,171,000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43,611,000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8,795,000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9,581,000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Right-Of-Use-Asset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Financing Costs, Net, Deposits and 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912,000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57,777,000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Finance Lease Obligations -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7,388,000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8,682,000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Gain on Sale -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Liability Related to the Sale of Future Proceeds from Disposition of Subsidiary -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payroll tax liability - CARES Act -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26,424,000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27,327,000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Finance Lease Obligations -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 - Related Party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6,412,000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6,012,000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Gain on Sale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162,000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the Sale of Future Proceeds from</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Disposition of Subsidiary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payroll tax liability - CARES Act -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40,736,000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42,668,000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Stock, par value $.001 - Authorized 3,000,000 shares, 0 shares outstanding, at both June 30, 2021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Common Stock - Par Value $.001 - Authorized 60,000,000 Shares, 32,037,547 and 31,906,971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Outstanding as of June 30, 2021 and 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81,556,000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81,238,000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(66,074,000)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(66,161,000)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57,777,000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480"/>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15,453,000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29,165,000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21,941,000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12,850,000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7,880,000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24,765,000</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19,146,000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2,603,000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2,163,000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3,933,000</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(1,292,000)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(1,373,000)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Costs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Related Parties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132,000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(1,584,000)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(1,940,000)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(1,414,000)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(1,584,000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(526,000</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32,021,522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30,552,147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31,996,859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30,476,289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37,991,914</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30,552,147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38,805,251</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30,476,289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2"/>
                <w:szCs w:val="22"/>
                <w:color w:val="auto"/>
              </w:rPr>
            </w:pPr>
          </w:p>
        </w:tc>
        <w:tc>
          <w:tcPr>
            <w:tcW w:w="26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24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31,906,971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(66,161,000)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41,960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51,224</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(152,000)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March 31, 2021</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32,000,155</w:t>
            </w: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81,447,000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(66,313,000</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15,166,000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37,392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52,000</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239,000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32,037,547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81,556,000</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(66,074,000</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15,514,000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29,478,338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77,434,000</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(67,257,000)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43,771</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issuance of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419,597</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983,000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984,000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Convertible Notes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590,243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1,058,000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1,058,000</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March 31, 2020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30,531,949</w:t>
            </w: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79,352,000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(66,199,000</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13,183,000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46,000</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(1,584,000)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(1,584,000)</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30,579,075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79,472,000</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(67,783,000</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11,719,000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For the Six Months Ended June 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1,417,000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employee compensation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214,000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directors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other income recognized</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(195,000)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Right-of-Use Asset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gain on sale of real estate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sale of equipment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on convertible notes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(3,435,000)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1,911,000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(5,213,000)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(49,000)</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Increase (Decrease) in Operating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(894,000)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(390,000)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673,000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Liability</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(1,043,000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(631,000)</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(631,000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revolver - net – Sterling National Bank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(393,000)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note payable - term notes – Sterling National Bank</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(778,000)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(284,000)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Loan Proceeds – Sterling National Bank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finance lease obligations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 issuance costs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notes payable issuances- related party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notes payable - third party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loan payable - financed asset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2,126,000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(1,990,000)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2,505,000</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515,000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2,068,000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For the Six Months Ended June 30,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612,000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received for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non-cash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Right of Use Asset additions under ASC 842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642,000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Operating Lease Liabilities under ASC 842</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Common Stock issued for conversion of notes payable and accrued interest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FORMATION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Air Industries Group is a Nevada corporation (“AIRI”). As of and for the three and six months ended June 30, 2021 and 2020, the accompanying condensed consolidated financial statements presented are those of AIRI, and its wholly-owned subsidiaries; Air Industries Machining Corp. (“AIM”), Nassau Tool Works, Inc. (“NTW”), and the Sterling Engineering Corporation (“Sterling”), (together,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for interim financial information and with Rule 8-03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and six months ended June 30, 2021 are not necessarily indicative of the results that may be expected for the year ending December 31, 2021. These unaudited condensed consolidated financial statements should be read in conjunction with the audited consolidated financial statements and notes thereto included in the Company’s Annual Report on Form 10-K for the year ended December 31, 2020, as filed with the Securities and Exchange Commission, from which the accompanying condensed consolidated balance sheet dated December 31, 2020 was derived.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Reclassification occurred to certain 2020 amounts to conform to the 2021 classification. These reclassifications had no impact on the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reporting period, management evaluates whether there are conditions or events that raise substantial doubt about the Company’s ability to continue as a going concern within one year after the date that the financial statements are issued. The Company is required to make certain additional disclosures if management concludes that substantial doubt exists about the Company’s ability to continue as a going concern and such doubt is not alleviated by the Company’s plans or when the Company’s plans alleviate substantial doubt about its ability to continue as a going concern. The evaluation entails analyzing prospective operating budgets and forecasts for expectations regarding cash needs and comparing those needs to the current cash and cash equivalent balance and expectations regarding cash to be generated over the following year.</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the global outbreak of COVID-19 negatively impacted the Company’s revenues, earnings and operating cash flows in 2020, management believes the Company’s operations substantially returned to normal in fiscal 2021. With the first half of fiscal 2021 now completed and the Company beginning to see the benefits from its’ recent investments in new machinery and equipment, management believes the Company will continue to improve its liquidity. As such, based on the Company generating operating income of $239,000 and $87,000 for the three and six months ended June 30, 2021, respectively, its current best estimates of fiscal 2021 sales, confirmed and expected orders, the strength of existing backlog, overall market demand, expected timing of future cash receipts and expenditures and the Company’s ability to access additional liquidity, if needed, the Company believes it will have adequate cash to support operations through at least August 31, 2022.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evaluated subsequent events through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annual periods, the Company values inventory at the lower of cost on a first-in-first-out basis or estimated net realizable value. The Company does not take physical inventories at interim quarterly reporting periods. For interim periods, substantially all of the inventory value has been estimated using a gross profit percentage based on annual gross profit percentages of the immediately preceding year as applied to the net sales of the current period. During the three and six months ended June 30, 2021, the Company increased its estimate of its gross profit percentage for its Complex Machining segment based on increased sales and the better absorption of Manufacturing Overhead, and accordingly has adjusted margins to reflect such change. Adjustments to reconcile the annual physical inventory to the Company’s books are recorded in the fourth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Concentration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three customers that represented 76.2% and two customers that represented 71.9% of total net sales for the three months ended June 30, 2021 and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198"/>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was less than 10% of total net sales for the three months ended June 30,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three customers that represented 77.0% and two customers that represented 69.3% of total net sales for the six months ended June 30, 2021 and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198"/>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580" w:right="4700" w:hanging="5572"/>
        <w:spacing w:after="0" w:line="778" w:lineRule="auto"/>
        <w:tabs>
          <w:tab w:leader="none" w:pos="333"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was less than 10% of total net sales for the six months ended June 30, 2020.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There were three customers that represented 85.0% of gross accounts receivable at June 30, 2021 and three customers that represented 80.3% of gross accounts receivable at December 31,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6"/>
              </w:rPr>
              <w:t>Percentage of Receivables</w:t>
            </w:r>
          </w:p>
        </w:tc>
      </w:tr>
      <w:tr>
        <w:trPr>
          <w:trHeight w:val="198"/>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8"/>
              </w:rPr>
              <w:t>June 30,</w:t>
            </w:r>
          </w:p>
        </w:tc>
        <w:tc>
          <w:tcPr>
            <w:tcW w:w="12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7"/>
                <w:szCs w:val="17"/>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bl>
    <w:p>
      <w:pPr>
        <w:spacing w:after="0" w:line="187" w:lineRule="exact"/>
        <w:rPr>
          <w:sz w:val="20"/>
          <w:szCs w:val="20"/>
          <w:color w:val="auto"/>
        </w:rPr>
      </w:pPr>
    </w:p>
    <w:p>
      <w:pPr>
        <w:ind w:left="420" w:hanging="318"/>
        <w:spacing w:after="0"/>
        <w:tabs>
          <w:tab w:leader="none" w:pos="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Customer was less than 10% of Gross Accounts Receivable at December 31,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was less than 10% of Gross Accounts Receivable at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period, the Company had occasionally maintained balances in its bank accounts that were in excess of the FDIC limit. The Company has not experienced any losses on these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Suppliers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several key sole-source suppliers of various parts that are important for one or more of its products. These suppliers are its only source for such parts and, therefore, in the event any of them were to go out of business or be unable to provide parts for any reason, its business could be severely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leases under ASC 842, “Leases.” All leases are required to be recorded on the balance sheet and are classified as either operating leases or finance leases. The lease classification affects the expense recognition in the income statement. Operating lease charges are recorded entirely in operating expenses. Finance lease charges are split, where amortization of the right-of- use asset is recorded in operating expenses and an implied interest component is recorded in interest expense. See Note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(loss) per share (“EPS”) is computed by dividing the net income (loss) applicable to common stockholders by the weighted-average number of shares of common stock outstanding for the period.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calculating diluted earnings per common share, the numerator includes net income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is the calculation of net income (loss) applicable to common stockholders utilized to calculate EPS: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2"/>
              <w:spacing w:after="0" w:line="198"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2"/>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gridSpan w:val="2"/>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color w:val="auto"/>
                <w:w w:val="93"/>
              </w:rPr>
              <w:t>(Unaudited)</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condensed consolidated statements of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(526,000)</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Add: Convertible Note Interest for Potential Note Conversion</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77,000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Income (loss) used to calculate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(1,584,000</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(526,000</w:t>
            </w:r>
            <w:r>
              <w:rPr>
                <w:rFonts w:ascii="Arial" w:cs="Arial" w:eastAsia="Arial" w:hAnsi="Arial"/>
                <w:sz w:val="29"/>
                <w:szCs w:val="29"/>
                <w:color w:val="auto"/>
                <w:vertAlign w:val="superscript"/>
              </w:rPr>
              <w:t>)</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denominators of basic and diluted earnings per share computations: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used to compute basic</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32,021,522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30,552,147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31,996,859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30,476,289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Effect of dilutive stock options and warrants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1,912,500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2,750,500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convertible notes payable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4,057,892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4,057,892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shares outstanding and dilutive securities</w:t>
            </w: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used to compute dilutive earnings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37,991,914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30,552,147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38,805,251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30,476,289</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have been excluded from the calculation as the exercise price was greater than the average market price of the common shares: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Warrants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1,903,000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1,423,000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1,423,000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1,423,000</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2,359,000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1,639,000</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have been excluded from the calculation even though the exercise price was less than the average market price of the common shares because the effect of including these potential shares was anti-dilutive due to the net loss incurred during that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Three and Six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760,000</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5,045,000</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7,501,000</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Stock based compensation expense for employees amounted to $57,000 and $74,000 for the three months ended June 30, 2021 and 2020, respectively, and $214,000 for both the six months ended June 30, 2021 and 2020. Stock compensation expense for directors amounted to $52,000 and $46,000 for the three months ended June 30, 2021 and 2020, respectively and $104,000 and $101,000 for the six months ended June 30, 2021 and 2020, respectively. Stock compensation expense for employees and directors was included in operating expenses on the accompanying Condensed Consolidated Statements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excess of the acquisition cost of businesses over the fair value of the identifiable net assets acquired. The goodwill amount of $163,000 at both June 30, 2021 and December 31, 2020 relates to the acquisition of NTW.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not amortized, but is tested at least annually for impairment, or if circumstances occur that more likely than not reduce the fair value of the reporting unit below its carrying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there has been no impairment of goodwill at June 30, 2021 and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June 2016, the FASB issued ASU No. 2016-13, Financial Instruments-Credit Losses (Topic 326) (“ASU 2016- 13”), which significantly changes how entities will account for credit losses for most financial assets and certain other instruments that are not measured at fair value through net income. ASU 2016-13 replaces the existing incurred loss model with an expected credit loss model that requires entities to estimate an expected lifetime credit loss on most financial assets and certain other instruments. Under ASU 2016-13 credit impairment is recognized as an allowance for credit losses, rather than as a direct write-down of the amortized cost basis of a financial asset. The impairment allowance is a valuation account deducted from the amortized cost basis of financial assets to present the net amount expected to be collected on the financial asset. Once the new pronouncement is adopted by the Company, the allowance for credit losses must be adjusted for management’s current estimate at each reporting date. The new guidance provides no threshold for recognition of impairment allowance. Therefore, entities must also measure expected credit losses on assets that have a low risk of loss. For instance, trade receivables that are either current or not yet due may not require an allowance reserve under currently generally accepted accounting principles, but under the new standard, the Company will have to estimate an allowance for expected credit losses on trade receivables under ASU 2016-13. ASU 2016-13 is effective for annual periods, including interim periods within those annual periods, beginning after December 15, 2022 for smaller reporting companies. Early adoption is permitted. The Company will evaluate the impact of ASU 2016-13 on the Company’s consolidated financial statements in a future period closer to the date of adoption.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which is intended to address issues identified as a result of the 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guidance on the basis of feedback from financial statement users. ASU 2020-06 is effective for fiscal years, and interim periods in those fiscal years, beginning after December 15, 2021. Early adoption is permitted, but no earlier than fiscal years beginning after December 15, 2020, including interim periods with those fiscal years. The Company is evaluating the effect of adopting this new accounting guidance on its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2021, the Company adopted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adoption of ASU 2019-12 did not have a material impact on the Company’s condensed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2021, the Company adopted ASU 2020-04, Reference Rate Reform (Topic 848): Facilitation of the Effects of Reference Rate Reform on Financial Reporting, which provides optional guidance for a limited time to ease the potential burden in accounting for reference rate reform. In January 2021, the FASB issued ASU 2021-01, “Reference Rate Reform (Topic 848): Scope: which clarified the scope of ASU 2020-04. The new guidance provides optional expedients and exceptions for applying U.S. GAAP to contracts, hedging relationships and other transactions affected by reference rate reform if certain criteria are met. The amendments apply only to contracts and hedging relationships that reference LIBOR or another reference rate expected to be discontinued due to reference rate reform. These amendments may be applied prospectively to contract modifications made and hedging relationships entered into or evaluated on or before December 31, 2022. The adoption of these ASU’s did not have a material impact on the Company’s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291" w:lineRule="auto"/>
        <w:rPr>
          <w:sz w:val="20"/>
          <w:szCs w:val="20"/>
          <w:color w:val="auto"/>
        </w:rPr>
      </w:pPr>
      <w:r>
        <w:rPr>
          <w:rFonts w:ascii="Arial" w:cs="Arial" w:eastAsia="Arial" w:hAnsi="Arial"/>
          <w:sz w:val="16"/>
          <w:szCs w:val="16"/>
          <w:color w:val="auto"/>
        </w:rPr>
        <w:t>In March 2021, the FASB issued ASU No. 2021-03, Intangibles—Goodwill and Other (Topic 350): Accounting Alternative for Evaluating Triggering Events, an amendment of the FASB Accounting Standards Codification. The amendments in this ASU allow companies to elect not to monitor for goodwill impairment triggering events during the reporting period and instead, to evaluate the facts and circumstances as of the end of the reporting period to determine whether it is more likely than not that goodwill is impaired. This aligns the triggering event evaluation date with the reporting date, whether that date is an interim or annual reporting date. This ASU is effective on a prospective basis for fiscal years beginning after December 15, 2019, with early adoption permitted for both interim and annual financial statements that have not yet been issued or made available for issuance as of March 30, 2021. The Company does not expect this guidance to have a material impact to its consolidated financial statements or related disclosures.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the FASB issued ASU No. 2021-04, Earnings Per Share (Topic 260), Debt – Modifications and Extinguishments (Subtopic 470-50), Compensation – Stock Compensation (Topic 718), and Derivatives and Hedging – Contracts in Entity’s Own Equity (Subtopic 815-40): Issuer’s Accounting for Certain Modification or Exchanges of Freestanding Equity-Classified Written Call Options (“ASU 2021-04”), which will clarify and reduce diversity in practice. Specifically, the new standard includes a recognition model comprising four categories of transactions and corresponding accounting treatment for each category. The category that would apply to a modification or an exchange of an equity-classified warrant would depend on the substance of the modification transaction (e.g. a financing transaction to raise equity versus one to raise debt). This recognition model is premised on the idea that the accounting for the transaction should not differ from what it would have been had the issuer of the warrants paid cash instead of modifying the warrants. ASU 2021-04 will be effective for fiscal years beginning after December 15, 2021 and interim periods within those fiscal years. Early adoption is permitted. This ASU will be applied prospectively to modifications or exchanges occurring on or after the effective date of the ASU. The Company is currently evaluating the impact this new guidance will have on its condensed consolidated financial statements.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if currently adopted would have a material effect on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at June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56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1,728,000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1,683,000</w:t>
            </w:r>
          </w:p>
        </w:tc>
        <w:tc>
          <w:tcPr>
            <w:tcW w:w="4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31.50 years</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21,870,000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21,738,000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 years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Finance Lease Machinery and Equipment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78,000</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- 8 years</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Tools and Instruments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12,417,000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12,116,000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 years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Automotive Equipment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148,000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148,000</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 years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861,000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855,000</w:t>
            </w:r>
          </w:p>
        </w:tc>
        <w:tc>
          <w:tcPr>
            <w:tcW w:w="4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583,000</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436,000</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 years</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w:t>
            </w:r>
          </w:p>
        </w:tc>
        <w:tc>
          <w:tcPr>
            <w:tcW w:w="19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38,275,000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37,644,000</w:t>
            </w:r>
          </w:p>
        </w:tc>
        <w:tc>
          <w:tcPr>
            <w:tcW w:w="46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(29,480,000)</w:t>
            </w: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7"/>
              </w:rPr>
              <w:t>(28,063,000)</w:t>
            </w: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8,795,000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9,581,000</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June 30, 2021 and 2020 was $704,000 and $688,000, respectively. Depreciation expense for the six months ended June 30, 2021 and 2020 was $1,417,000 and $1,344,000,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held under financed lease obligations are depreciated over the shorter of their related lease terms or their estimated productive lives. Depreciation of assets under finance leases is included in depreciation expense for 2021 and 2020. Accumulated depreciation on these assets was approximately $31,000 and $28,000 as of June 30, 2021 and December 31,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operating and finance leases for leased office and manufacturing facilities and equipment leases. The Company leases certain machinery and equipment under finance leases and leases its offices and manufacturing facilities under operating leases. The leases have remaining lease terms of one to five years, some of which include options to extend or terminate the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37"/>
        </w:trPr>
        <w:tc>
          <w:tcPr>
            <w:tcW w:w="86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in years</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5.12</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5.53</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discount rate - %</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8.89%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8.90%</w:t>
            </w:r>
          </w:p>
        </w:tc>
      </w:tr>
      <w:tr>
        <w:trPr>
          <w:trHeight w:val="418"/>
        </w:trPr>
        <w:tc>
          <w:tcPr>
            <w:tcW w:w="9980" w:type="dxa"/>
            <w:vAlign w:val="bottom"/>
            <w:gridSpan w:val="3"/>
          </w:tcPr>
          <w:p>
            <w:pPr>
              <w:spacing w:after="0"/>
              <w:rPr>
                <w:sz w:val="20"/>
                <w:szCs w:val="20"/>
                <w:color w:val="auto"/>
              </w:rPr>
            </w:pPr>
            <w:r>
              <w:rPr>
                <w:rFonts w:ascii="Arial" w:cs="Arial" w:eastAsia="Arial" w:hAnsi="Arial"/>
                <w:sz w:val="18"/>
                <w:szCs w:val="18"/>
                <w:color w:val="auto"/>
                <w:w w:val="90"/>
              </w:rPr>
              <w:t>The aggregate undiscounted cash flows of operating lease payments for leases with remaining terms greater than one year are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1,007,000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discount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(1,091,000)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maturities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current portion of operating lease liabilities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(643,000)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 term portion of operating lease maturities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2021 the Company entered into an agreement to surrender the possession of the premises of the former corporate office, located in Hauppauge, NY. The Company made a one-time payment of 40% of the remaining balance due to the landlord as of May 1, 2021, of approximately $37,000. The Company had previously recognized a lease impairment of $275,000 to its Operating Lease Right-of-Use-Asset for the year-ended December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NOTES PAYABLE, RELATED PARTY NOTES PAYABLE AND FINANCE LEASE OBLIGATIONS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Notes payable, related party notes payable and finance lease obligations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note payable to Sterling National Bank (“SNB”)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15,649,000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 SNB</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4,793,000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5,558,000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Payable - financed asset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notes payable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6,412,000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26,508,000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27,273,000</w:t>
            </w: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notes payable, related party notes payable and finance lease obligations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(16,266,000)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(16,475,000)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related party notes payable and finance lease obligations,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of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10,798,000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Sterling National Bank (“SNB”)</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2019, the Company entered into a loan facility (“SNB Facility”) with SNB expiring on December 30, 2022. The loan facility provides for a $16,000,000 revolving loan (“SNB revolving line of credit”) and a term loan (“SNB term loan”).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the Company entered into the First Amendment to Loan and Security Agreement (“First Amendment”). The terms of the amendment increase the Term Loan to $5,685,000. The repayment terms of the term loan were amended to provide monthly principal installments in the amount of $67,679 beginning on December 1, 2020, with a final payment of any unpaid balance of principal and interest payable on December 30, 2022. Additionally, the date by which certain subordinated third-party notes need to be extended was changed from September 30, 2020 to November 30, 2020. The Company paid an amendment fee of $20,000.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On June 14, 2021, the Company entered into the Second Amendment to the Loan and Security Agreement (“Second Amendment”). The purpose of the Second Amendment was to clarify the definition and calculation of Excess Cash Flow, and to confirm the extension of the due date for the payment of the Excess Cash Flow payment. The amount of the Excess Cash Flow payment for the year ended December 31, 2020 was calculated to be $558,750. Per the terms of the Second Amendment, the Excess Cash Flow is payable in three installments of $186,250 on each of June 15, 2021, June 30, 2021, and September 15, 2021. As of June 30, 2021, the Company paid the first two installments totaling $372,500. Additionally, the Company paid an amendment fee of $10,000.</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the SNB Facility require that, among other things, the Company maintain a specified Fixed Charge Coverage Ratio of 1.25 to 1.00 at the end of each Fiscal Quarter beginning with the Fiscal Quarter ending March 31, 2020. In addition, the Company is limited in the amount of Capital Expenditures it can make. As of June 30, 2021, the Company was in compliance with all loan covenants. The SNB Facility also restricts the amount of dividends the Company may pay to its stockholders. Substantially all of the Company’s assets are pledged as collateral under the SNB Facility.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As of June 30, 2021 the future minimum principal payments for the SNB term loan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twelve months ending</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4,247,000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SNB Term Loan payable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SNB Term loan payable, net of debt issuance costs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 of SNB term loan payable</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(998,000)</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portion of SNB term loan payable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SNB Facility, both the SNB revolving line of credit and the SNB term loan will bear an interest rate equal to 30-day LIBOR, (with a 1% floor), plus 2.5%. The average interest rate charged during the period ended June 30, 2021 was 3.5%.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our debt to SNB in the amount of $20,049,000 consisted of the SNB revolving line of credit note in the amount of $15,256,000 and the SNB term loan in the amount of $4,793,000. As of December 31, 2020, our debt to SNB in the amount of $21,207,000 consisted of the SNB revolving line of credit note in the amount of $15,649,000 and the SNB term loan in the amount of $5,558,000.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SNB Facility amounted to approximately $180,000 and $154,000 for the three months ended June 30, 2021 and 2020, respectively, and $361,000 and $274,000 for the six months ended June 30,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Loan Payable – Financed Asset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financed the purchase of a delivery vehicle in July 2020. The loan obligation totaled $44,000 and $48,000 as of June 30, 2021 and December 31, 2020, respectively. The loan bears no interest and a final payment is due and payable for all unpaid principal on July 20, 2026.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The future minimum loan payments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twelve months ending</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36"/>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Payable - financed asset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Notes Payable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is a corporation co-founded by two directors of the Company, Michael and Robert Taglich. In addition, a third director of the Company is a vice president of Taglich Brothers, Inc.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has acted as placement agent for various debt and equity financing transactions and has received cash and equity compensation for their services.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2016 through 2020, the Company entered into various subordinated notes payable and convertible subordinated notes payable with Michael and Robert Taglich. These notes resulted in proceeds to the Company totaling $6,550,000. In connection with these notes, Michael and Robert were issued a total of 355,082 shares of common stock and Taglich Brothers Inc. was issued promissory notes totaling $554,000 for placement agency fees.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2021, the related party subordinated notes due to Michael and Robert Taglich and Taglich Brothers, Inc., were amended to include all accrued interest through December 31, 2020 in the principal balance of the notes. Per the terms of the SNB Facility, these notes remain subordinate to the SNB Facility and are due on July 1, 2023. There are no principal payments due on these notes until such time. The note holders and the principal balance of the notes as amended on January 1, 2021 are shown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Michael</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Robert</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Taglich</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Taglich,</w:t>
            </w: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Taglich,</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Brothers,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Chairman</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Director</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Inc.</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Subordinated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2,666,000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Subordinated Notes</w:t>
            </w:r>
          </w:p>
        </w:tc>
        <w:tc>
          <w:tcPr>
            <w:tcW w:w="12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3,916,000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three months and six months ended June 30, 2021, no principal payments have been made on these notes and the principal balances remain unchanged from the table above. Interest expense for the three months ended June 30, 2021 and 2020 on all related party notes payable was $125,000 and $125,000, respectively, and $250,000 and $253,000 for the six months ended June 30,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 – Third Parties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both June 30, 2021 and December 31, 2020, the notes payable to third parties totaled $0 as the notes were converted into shares of common stock in 2020. Interest incurred on these notes amounted to approximately $38,000 and $80,000 for the three and six months ended June 30, 2020, respectively. Amortization of debt discount on these notes amounted to approximately $3,000 and $7,000 for the three and six months ended June 30, 2020, respectively. These costs are included in interest and financing costs in the Condensed Consolidated Statement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LIABILITY RELATED TO THE SALE OF FUTURE PROCEEDS FROM DISPOSITION OF SUBSIDIARY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sale of the Company’s wholly-owned subsidiary, AMK Welding, Inc. (“AMK”) to Meyer Tool, Inc., (“Meyer”) in 2017, Meyer was obligated to pay the Company within 30 days after the end of each calendar quarter, commencing April 1, 2017, an amount equal to five (5%) percent of the net sales of AMK for that quarter until the aggregate payments made to the Company (the “Meyer Agreement”) equals $1,500,000 (the “Maximum Amount”).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increase liquidity, on January 15, 2019, the Company entered into a “Purchase Agreement” with 15 accredited investors (the “Purchasers”), including Michael and Robert Taglich, pursuant to which the Company assigned to the Purchasers all of its rights, title and interest to the remaining $1,137,000 of the $1,500,000 in payments due from Meyer for the sale of AMK (the “Remaining Amount”) for an immediate payment of $800,000, including $100,000 from each of Michael and Robert Taglich, and $75,000 for the benefit of the children of Michael Taglich. The timing of the payments is based upon the net sales of AMK. If the Purchasers have not received the entire Remaining Amount by March 31, 2023, they have the right to demand payment of their pro rata portion of the unpaid Remaining Amount from the Company (“Put Right”). To the extent the Purchasers exercise their Put Right, the remaining payments from Meyer will be retained by the Company.</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recognized $91,000 and $119,000 of non-cash income for the three months ended June 30, 2021 and 2020, respectively, and $195,000 and $211,000 of non-cash income for the six months ended June 30, 2021 and 2020, respectively, reflected in “other income, net” on the condensed consolidated statements of operations and recorded $27,000 and $36,000 of related non-cash interest expense related to the Purchase Agreement for the three months ended June 30, 2021 and 2020, respectively, and $58,000 and $64,000 for the six months ended June 30, 2021 and 2020, respectively.</w:t>
      </w:r>
    </w:p>
    <w:p>
      <w:pPr>
        <w:sectPr>
          <w:pgSz w:w="11900" w:h="16838" w:orient="portrait"/>
          <w:cols w:equalWidth="0" w:num="1">
            <w:col w:w="11240"/>
          </w:cols>
          <w:pgMar w:left="320" w:top="877" w:right="339" w:bottom="713"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activity within the liability account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400"/>
        <w:spacing w:after="0" w:line="255" w:lineRule="auto"/>
        <w:rPr>
          <w:sz w:val="20"/>
          <w:szCs w:val="20"/>
          <w:color w:val="auto"/>
        </w:rPr>
      </w:pPr>
      <w:r>
        <w:rPr>
          <w:rFonts w:ascii="Arial" w:cs="Arial" w:eastAsia="Arial" w:hAnsi="Arial"/>
          <w:sz w:val="18"/>
          <w:szCs w:val="18"/>
          <w:color w:val="auto"/>
        </w:rPr>
        <w:t>Liabilities related to sale of future proceeds from disposition of subsidiaries - beginning balance Non-Cash other income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Non-Cash interest expense recognized</w:t>
      </w:r>
    </w:p>
    <w:p>
      <w:pPr>
        <w:spacing w:after="0" w:line="35" w:lineRule="exact"/>
        <w:rPr>
          <w:sz w:val="20"/>
          <w:szCs w:val="20"/>
          <w:color w:val="auto"/>
        </w:rPr>
      </w:pPr>
    </w:p>
    <w:p>
      <w:pPr>
        <w:ind w:right="3400"/>
        <w:spacing w:after="0" w:line="258" w:lineRule="auto"/>
        <w:rPr>
          <w:sz w:val="20"/>
          <w:szCs w:val="20"/>
          <w:color w:val="auto"/>
        </w:rPr>
      </w:pPr>
      <w:r>
        <w:rPr>
          <w:rFonts w:ascii="Arial" w:cs="Arial" w:eastAsia="Arial" w:hAnsi="Arial"/>
          <w:sz w:val="18"/>
          <w:szCs w:val="18"/>
          <w:color w:val="auto"/>
        </w:rPr>
        <w:t>Liabilities related to sale of future proceeds from disposition of subsidiary -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unamortized transaction costs</w:t>
      </w:r>
    </w:p>
    <w:p>
      <w:pPr>
        <w:spacing w:after="0" w:line="35" w:lineRule="exact"/>
        <w:rPr>
          <w:sz w:val="20"/>
          <w:szCs w:val="20"/>
          <w:color w:val="auto"/>
        </w:rPr>
      </w:pPr>
    </w:p>
    <w:p>
      <w:pPr>
        <w:ind w:right="3500"/>
        <w:spacing w:after="0" w:line="277" w:lineRule="auto"/>
        <w:rPr>
          <w:sz w:val="20"/>
          <w:szCs w:val="20"/>
          <w:color w:val="auto"/>
        </w:rPr>
      </w:pPr>
      <w:r>
        <w:rPr>
          <w:rFonts w:ascii="Arial" w:cs="Arial" w:eastAsia="Arial" w:hAnsi="Arial"/>
          <w:sz w:val="18"/>
          <w:szCs w:val="18"/>
          <w:color w:val="auto"/>
        </w:rPr>
        <w:t>Liability related to sale of future proceeds from disposition of subsidiary,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 Sale and Other Issuances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34"/>
        </w:trPr>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322,000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602,000</w:t>
            </w:r>
          </w:p>
        </w:tc>
        <w:tc>
          <w:tcPr>
            <w:tcW w:w="60" w:type="dxa"/>
            <w:vAlign w:val="bottom"/>
          </w:tcPr>
          <w:p>
            <w:pPr>
              <w:spacing w:after="0"/>
              <w:rPr>
                <w:sz w:val="24"/>
                <w:szCs w:val="24"/>
                <w:color w:val="auto"/>
              </w:rPr>
            </w:pPr>
          </w:p>
        </w:tc>
      </w:tr>
      <w:tr>
        <w:trPr>
          <w:trHeight w:val="230"/>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(195,000)</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(402,000)</w:t>
            </w:r>
          </w:p>
        </w:tc>
      </w:tr>
      <w:tr>
        <w:trPr>
          <w:trHeight w:val="230"/>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58,000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122,000</w:t>
            </w:r>
          </w:p>
        </w:tc>
        <w:tc>
          <w:tcPr>
            <w:tcW w:w="60" w:type="dxa"/>
            <w:vAlign w:val="bottom"/>
          </w:tcPr>
          <w:p>
            <w:pPr>
              <w:spacing w:after="0"/>
              <w:rPr>
                <w:sz w:val="20"/>
                <w:szCs w:val="20"/>
                <w:color w:val="auto"/>
              </w:rPr>
            </w:pP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322,000</w:t>
            </w:r>
          </w:p>
        </w:tc>
        <w:tc>
          <w:tcPr>
            <w:tcW w:w="60" w:type="dxa"/>
            <w:vAlign w:val="bottom"/>
          </w:tcPr>
          <w:p>
            <w:pPr>
              <w:spacing w:after="0"/>
              <w:rPr>
                <w:sz w:val="24"/>
                <w:szCs w:val="24"/>
                <w:color w:val="auto"/>
              </w:rPr>
            </w:pPr>
          </w:p>
        </w:tc>
      </w:tr>
      <w:tr>
        <w:trPr>
          <w:trHeight w:val="244"/>
        </w:trPr>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319,000</w:t>
            </w:r>
          </w:p>
        </w:tc>
        <w:tc>
          <w:tcPr>
            <w:tcW w:w="60" w:type="dxa"/>
            <w:vAlign w:val="bottom"/>
          </w:tcPr>
          <w:p>
            <w:pPr>
              <w:spacing w:after="0"/>
              <w:rPr>
                <w:sz w:val="24"/>
                <w:szCs w:val="24"/>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6" w:lineRule="exact"/>
        <w:rPr>
          <w:sz w:val="20"/>
          <w:szCs w:val="20"/>
          <w:color w:val="auto"/>
        </w:rPr>
      </w:pPr>
    </w:p>
    <w:p>
      <w:pPr>
        <w:sectPr>
          <w:pgSz w:w="11900" w:h="16838" w:orient="portrait"/>
          <w:cols w:equalWidth="0" w:num="2">
            <w:col w:w="7960" w:space="720"/>
            <w:col w:w="2560"/>
          </w:cols>
          <w:pgMar w:left="320" w:top="877" w:right="339" w:bottom="713" w:gutter="0" w:footer="0" w:header="0"/>
          <w:type w:val="continuous"/>
        </w:sectPr>
      </w:pP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issued 37,392 and 47,126 shares of common stock in payment of director fees totaling $52,000 and $46,000 for the three months ended June 30, 2021 and 2020, respectively, and 79,352 and 90,897 shares totaling $104,000 and $101,000 for the six months ended June 30, 2021 and 2020, respectively. Additionally, the Company issued 51,224 shares of common stock upon the cashless exercise of stock options during the six months ended June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we issued and sold 419,597 shares of our common stock for gross proceeds of $984,000 pursuant to our Form S-3 filed on October 10, 2019 as updated on January 15, 2020. Costs of the sale amounted to $145,000.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the Company issued 590,243 shares of common stock to convert third party subordinated debt totaling $885,000 to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2021, the Company issued 39,983 shares of common stock in payment of directors’ fees totaling $52,000.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Stock Options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January 11, 2021, the Company granted to its directors, stock options to purchase an aggregate of 70,000 shares of the Company’s common stock at a price of $1.32 per share. The options expire on the seventh anniversary of the grant date and vest over a term of one year.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2021, the Company granted to certain members of management and certain employees, stock options to purchase an aggregate of 327,500 shares of the Company’s common stock at a price of $1.39 per share. The options expire on the fifth anniversary of the grant date and vest over a term of three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30, 2021, the Company granted to certain members of management and certain employees, stock options to purchase an aggregate of 415,000 shares of the Company’s common stock at a price of $1.22 per share. The options expire on the fifth anniversary of the grant date and vest over a term of one to three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13"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actions have been commenced against the Company by vendors, landlords and former landlords, including a third party claim as a result of an injury suffered on a portion of a leased property not occupied by the Company. As certain of these claims represent amounts included in accounts payable they are not specifically discussed herein.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Contract Pharmacal Corp. (“Contact Pharmacal”) commenced an action on October 2, 2018, relating to a Sublease entered into between the Company and Contract Pharmacal in May 2018 with respect to the property at 110 Plant Avenue, Hauppauge, New York. In the action Contract Pharmacal originally sought damages in excess of $1,000,000 for the Company’s failure to make the entire premises available by the Sublease commencement date. On July 8, 2021, the Court denied Contract Pharmacal’s Motion for Summary Judgement. In the Order, the Court granted Contract Pharmacal’s Motions to drop its claim for specific performance and to amend its Complaint to reduce its claim for damages to $700,000. The Company continues to dispute the validity of the claims asserted by Contract Pharmacal and believes it has meritorious defenses to those claims. As of June 30, 2021, it is not possible to estimate if a loss will be incurred, as such there has been no accrual.</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also may be engaged in various lawsuits and legal proceedings in the ordinary course of our business. We are currently not aware of any legal proceedings the ultimate outcome of which, in our judgment based on information currently available, would have a material adverse effect on our business, financial condition or operating results. There are no proceedings in which any of our directors, officers or affiliates, or any registered or beneficial stockholder of our common stock, is an adverse party or has a material interest averse to our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no income tax expense for the three and six months ended June 30, 2021 and 2020 because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passage of the CARES Act, the Company filed for a net operating loss carryback claim of $1,416,000 in March 2020. The refund was received in April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the Company provided a full valuation allowance against its net deferred tax assets since the Company believes it is more likely than not that its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FASB ASC 280, “Segment Reporting” (“ASC 280”), the Company discloses financial and descriptive information about its reportable operating segments. Operating segments are components of an enterprise about which separate financial information is available and regularly evaluated by the chief operating decision maker in deciding how to allocate resources and in assessing performance.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280, which establishes standards for reporting information about operating segments in annual and interim financial statements, and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divides its operations into two operating segments: Complex Machining, which consists of AIM and NTW; and Turbine Engine Components, which consists of Sterling. Along with its operating subsidiaries, the Company reports the results of its corporate division as an independent segment.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The accounting policies of each of the segments are the same as those described in the Summary of Significant Accounting Policies. Intersegment transfers are recorded at the transferor’s cost, and there is no intercompany profit or loss on intersegment transfers. We evaluate performance based on revenue, gross profit contribution and assets employed.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the Company’s reporting segments for the three and six months ended June 30, 2021 and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Three Months</w:t>
            </w:r>
          </w:p>
        </w:tc>
        <w:tc>
          <w:tcPr>
            <w:tcW w:w="120" w:type="dxa"/>
            <w:vAlign w:val="bottom"/>
          </w:tcPr>
          <w:p>
            <w:pPr>
              <w:spacing w:after="0"/>
              <w:rPr>
                <w:sz w:val="19"/>
                <w:szCs w:val="19"/>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120" w:type="dxa"/>
            <w:vAlign w:val="bottom"/>
          </w:tcPr>
          <w:p>
            <w:pPr>
              <w:spacing w:after="0"/>
              <w:rPr>
                <w:sz w:val="20"/>
                <w:szCs w:val="20"/>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vMerge w:val="restart"/>
          </w:tcPr>
          <w:p>
            <w:pPr>
              <w:spacing w:after="0"/>
              <w:rPr>
                <w:sz w:val="20"/>
                <w:szCs w:val="20"/>
                <w:color w:val="auto"/>
              </w:rPr>
            </w:pPr>
            <w:r>
              <w:rPr>
                <w:rFonts w:ascii="Arial" w:cs="Arial" w:eastAsia="Arial" w:hAnsi="Arial"/>
                <w:sz w:val="18"/>
                <w:szCs w:val="18"/>
                <w:color w:val="auto"/>
              </w:rPr>
              <w:t>COMPLEX MACHINING</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13,783,000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19,372,000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2,325,000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681,000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3,944,000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2,849,000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51,956,000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48,490,000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51,956,000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48,490,000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278,000</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456,000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3,471,000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4,430,000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3,471,000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CORPORATE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823,000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1,808,000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823,000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1,808,000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CONSOLIDATED</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15,453,000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21,941,000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2,603,000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614,000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2,795,000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(526,000)</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56,250,000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54,728,000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56,250,000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54,728,000</w:t>
            </w:r>
          </w:p>
        </w:tc>
        <w:tc>
          <w:tcPr>
            <w:tcW w:w="0" w:type="dxa"/>
            <w:vAlign w:val="bottom"/>
          </w:tcPr>
          <w:p>
            <w:pPr>
              <w:spacing w:after="0"/>
              <w:rPr>
                <w:sz w:val="1"/>
                <w:szCs w:val="1"/>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unaudited condensed consolidated financial statements and notes to those statements included elsewhere in this Form 10-Q and with the audited consolidated financial statements and the notes thereto included in our Annual Report on Form 10-K, for the year ended December 31, 2020 (the “2020 Form 10-K”). This discussion contains forward-looking statements that involve risks and uncertainties. You should specifically consider the various risk factors identified in this report that could cause actual results to differ materially from those anticipated in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contained in this report as well as the discussion below principally reflect the status of our business and the results of our operations as of June 30, 2021.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AIM became a public company in 2005 and we are an aerospace company operating primarily in the defense industry. Our Complex Machining segment manufactures structural parts and assemblies that focus on flight safety, including landing gear, arresting gear, engine mounts, flight controls, throttle quadrants, and other components. Our Turbine Engine Components segment makes components and provides services for jet engines and ground-power turbines. Our products are currently deployed on a wide range of high-profile military and commercial aircraft including the Sikorsky UH-60 Blackhawk, Lockheed Martin F-35 Joint Strike Fighter, Northrop Grumman E2D Hawkeye, the US Navy F-18 and USAF F-16 fighter aircraft, Boeing 777 commercial airliners. Our Turbine Engine segment makes components for jet engines that are used on the USAF F-15 and F-16, the Airbus A-330 and the Boeing 777, in addition to a number of ground-power turbine applications.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aerospace market is highly competitive in both the defense and commercial sectors and we face intense competition in all areas of our business. Nearly all of our revenues are derived by producing products to customer specifications after being awarded a contract through a competitive bidding process. As the commercial aerospace and defense industries continue to consolidate and major contractors seek to streamline supply chains by buying more complete sub-assemblies from fewer suppliers, we have sought to remain competitive not only by providing cost-effective world class service but also by increasing our ability to produce more complex and complete assemblies for our customers.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currently focused on positioning our business to obtain profitability, achieve positive cash flow and we remain resolute on meeting customers’ needs. We believe that an unyielding focus on our customers will allow us to execute on our existing backlog in a timely fashion. In 2018 and 2019, we consolidated the operations of our Complex Machining segment in our main campus located in Bay Shore, New York. In 2020, in order to take advantage of the long-term growth opportunities we see in our markets, we made significant capital investments in new equipment. Additionally, we expanded our operations and manufacturing cells located in our Connecticut facility where our Turbine Engine segment is located. We believe these investments will increase the volume and efficiency of production, increase the size of product we can make and allow us to offer additional services to our customers. We are pleased with the positive responses received from our customers to date.</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ability to operate profitably is determined by our ability to win new contracts and renewals of existing contracts, and then fulfill these contracts on a timely basis at costs that enable us to generate a profit based upon the agreed upon contract price. Winning a contract generally requires that we submit a bid containing a fixed price for the product or products covered by the contract for an agreed upon period of time. Thus, when submitting bids, we are required to estimate our future costs of production and, since we often rely upon subcontractors, the prices we can obtain from our subcontractors.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648"/>
        <w:spacing w:after="0" w:line="290" w:lineRule="auto"/>
        <w:rPr>
          <w:sz w:val="20"/>
          <w:szCs w:val="20"/>
          <w:color w:val="auto"/>
        </w:rPr>
      </w:pPr>
      <w:r>
        <w:rPr>
          <w:rFonts w:ascii="Arial" w:cs="Arial" w:eastAsia="Arial" w:hAnsi="Arial"/>
          <w:sz w:val="16"/>
          <w:szCs w:val="16"/>
          <w:color w:val="auto"/>
        </w:rPr>
        <w:t>While our revenues are largely determined by the number of contracts we are awarded, the volume of product delivered and price of product under each contract, our costs are determined by a number of factors. The principal factors impacting our costs are the cost of materials and supplies, labor, financing and the efficiency at which we can produce our products. The cost of materials used in the aerospace industry is highly volatile. In addition, the market for the skilled labor we require to operate our plants is highly competitive. The profit margin of the various products we sell varies based upon a number of factors, including the complexity of the product, the intensity of the competition for such product and, in some cases, the ability to deliver replacement parts on short notice. Thus, in assessing our performance from one period to another, a reader must understand that changes in profit margin can be the result of shifts in the mix of products sold. Our operations have a large percentage of fixed factory overhead. As a result, our profit margins are also highly variable with sales volumes as under-absorption of factory overhead decreases profits.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very large percentage of the products we produce are used on military as opposed to civilian aircraft. These products can be replacements for aircraft already in the fleet of the armed services or for the production of new aircraft. Recent increases in Defense Department spending have increased orders for our products. Reductions to the Defense Department budget or decreased usage of aircraft reduces the demand for both new production and replacement spares and could adversely impact our business and our revenues. We are focusing greater efforts on the civilian aircraft market though we still remain dependent upon the military for an overwhelming portion of our revenues.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follow Financial Accounting Standards Board (“FASB”) ASC 280, “Segment Reporting” (“ASC 280”), which establishes standards for reporting information about operating segments in annual and interim financial statements, ASC 280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divide our operations into two operating segments: Complex Machining and Turbine Engine Components. Along with our operating subsidiaries, we report the results of our corporate office as an independent segment.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our segments are the same as those described in the Summary of Significant Accounting Policies. We evaluate performance based on revenue, gross profit contribution and assets employed.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Selected Financial Information:</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24"/>
                <w:szCs w:val="24"/>
                <w:color w:val="auto"/>
              </w:rPr>
            </w:pPr>
          </w:p>
        </w:tc>
        <w:tc>
          <w:tcPr>
            <w:tcW w:w="242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15,453,000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8,494,000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21,941,000</w:t>
            </w: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12,850,000</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7,880,000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24,765,000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19,146,000</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 and interest and financing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2,496,000</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2,334,000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4,563,000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4,976,000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241,000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7"/>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40" w:type="dxa"/>
            <w:vAlign w:val="bottom"/>
            <w:vMerge w:val="continue"/>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(1,584,000</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(526,000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16,747,000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16,284,000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57,777,000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15,514,000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15,109,000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results of operations for each of our segments individually and on a consolidated basis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Three Months</w:t>
            </w:r>
          </w:p>
        </w:tc>
        <w:tc>
          <w:tcPr>
            <w:tcW w:w="120" w:type="dxa"/>
            <w:vAlign w:val="bottom"/>
          </w:tcPr>
          <w:p>
            <w:pPr>
              <w:spacing w:after="0"/>
              <w:rPr>
                <w:sz w:val="19"/>
                <w:szCs w:val="19"/>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120" w:type="dxa"/>
            <w:vAlign w:val="bottom"/>
          </w:tcPr>
          <w:p>
            <w:pPr>
              <w:spacing w:after="0"/>
              <w:rPr>
                <w:sz w:val="20"/>
                <w:szCs w:val="20"/>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COMPLEX MACHINING</w:t>
            </w: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13,783,000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19,372,000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2,325,000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681,000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3,944,000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2,849,000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51,956,000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48,490,000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51,956,000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48,490,000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 (loss)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278,000</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456,000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3,471,000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4,430,000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3,471,000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4,430,000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823,000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1,808,000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823,000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1,808,000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15,453,000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21,941,000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2,603,000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614,000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2,795,000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(526,000)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56,250,000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54,728,000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56,250,000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54,728,000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sales for the three months ended June 30, 2021 were $15,453,000, an increase of $6,959,000, or 81.9%, compared with $8,494,000 for the three months ended June 30, 2020. Net sales of our Complex Machining segment were $13,783,000 in the three months ended June 30, 2021, an increase of $6,475,000, or 88.6%, from $7,308,000 in the three months ended June 30, 2020. Net sales in our Turbine Engine Components segment for the three months ended June 30, 2021 were $1,670,000, an increase of $484,000, or 40.8%, compared with $1,186,000 for the three months ended June 30,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As indicated in the table below, three customers represented 76.2% and two customers represented 71.9% of total sales for the three months ended June 30, 2021 and June 30,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237"/>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Sikorsky Aircraft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38.60%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Department of Defense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was less than 10% of net sales for the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gross profit from operations for the three months ended June 30, 2021 was $2,603,000, an increase of $1,989,000, or 323.9%, as compared to gross profit of $614,000 for the three months ended June 30, 2020. Consolidated gross profit as a percentage of sales was 16.8% and 7.2% for the three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operating expenses for the three months ended June 30, 2021 totaled $2,163,000 and increased by $257,000 or 13.5% compared to $1,906,000 for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Costs: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Interest and financing costs for the three months ended June 30, 2021 were $333,000 a decrease of $95,000 or 22.2% compared to $428,000 for the three months ended June 30, 2020. This decrease is attributable to the conversion of our third party Convertible Debt during fiscal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June 30, 2021 was $239,000, an increase of $1,823,000, compared to a net loss of $1,584,000 for the three months ended June 30, 2020, reflecting our ability to generate revenues consistent with our revenues before the onset of Covid-19 while continuing to focus on limiting the increases in operating expenses and reducing interest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sales for the six months ended June 30, 2021 were $29,165,000, an increase of $7,224,000, or 32.9%, compared with $21,941,000 for the six months ended June 30, 2020. Net sales of our Complex Machining segment were $25,949,000 in the six months ended June 30, 2021, an increase of $6,577,000, or 34.0%, from $19,372,000 in the six months ended June 30, 2020. Net sales in our Turbine Engine Components segment were $3,216,000 for the six months ended June 30, 2021, an increase of $647,000, or 25.2% compared with $2,569,000 for the six months ended June 30,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ind w:firstLine="648"/>
        <w:spacing w:after="0" w:line="277" w:lineRule="auto"/>
        <w:rPr>
          <w:sz w:val="20"/>
          <w:szCs w:val="20"/>
          <w:color w:val="auto"/>
        </w:rPr>
      </w:pPr>
      <w:r>
        <w:rPr>
          <w:rFonts w:ascii="Arial" w:cs="Arial" w:eastAsia="Arial" w:hAnsi="Arial"/>
          <w:sz w:val="18"/>
          <w:szCs w:val="18"/>
          <w:color w:val="auto"/>
        </w:rPr>
        <w:t>As indicated in the table below, three customers represented 77.0% and two customers represented 69.3% of total sales for the six months ended June 30, 2021 and June 30,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237"/>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Sikorsky Aircraft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Department of Defense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was less than 10% of net sales for the six months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gross profit from operations for the six months ended June 30, 2021 was $4,400,000, an increase of $1,605,000, or 57.4%, as compared to gross profit of $2,795,000 for the six months ended June 30, 2020. Consolidated gross profit as a percentage of sales was 15.1% and 12.7%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operating expenses for the six months ended June 30, 2021 totaled $3,933,000 and decreased by $235,000 or 5.6% compared to $4,168,000 for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Costs: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and financing costs for the six months ended June 30, 2021 were $630,000 a decrease of $178,000 or 22.0% compared to $808,000 for the six months ended June 30, 2020. This decrease is attributable to the conversion of our third party Convertible Debt during fiscal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income for the six months ended June 30, 2021 was $87,000, an increase of $613,000 compared to a net loss of $526,000 for the six months ended June 30, 2020, due to the reasons discussed above. In addition, the Company recorded a benefit from income taxes of $1,414,000 for the six months ended June 30, 2020 pursuant to the filing of a net operating loss claim (see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fiscal 2020, we took advantage of a number of U.S. government programs to improve our liquidity to offset the negative impact to our business from COVID-19. These steps included:</w:t>
      </w:r>
    </w:p>
    <w:p>
      <w:pPr>
        <w:spacing w:after="0" w:line="170"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Received Low Interest Loans from the SBA</w:t>
      </w:r>
      <w:r>
        <w:rPr>
          <w:rFonts w:ascii="Arial" w:cs="Arial" w:eastAsia="Arial" w:hAnsi="Arial"/>
          <w:sz w:val="18"/>
          <w:szCs w:val="18"/>
          <w:color w:val="auto"/>
        </w:rPr>
        <w:t xml:space="preserve"> – In May 2020, our three operating subsidiaries entered into government subsidized loans with Sterling National Bank (“SNB”) in an aggregate principal amount of $2.4 million (“SBA Loans”).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Applied for and Received Forgiveness of the SBA Loans</w:t>
      </w:r>
      <w:r>
        <w:rPr>
          <w:rFonts w:ascii="Arial" w:cs="Arial" w:eastAsia="Arial" w:hAnsi="Arial"/>
          <w:sz w:val="18"/>
          <w:szCs w:val="18"/>
          <w:color w:val="auto"/>
        </w:rPr>
        <w:t xml:space="preserve"> – In accordance with U.S. government regulations we applied to SNB for forgiveness of each Loan in full and in December 2020 we received final approval from the SBA that the entire principal amount of our SBA Loans plus accrued interest had been forgiven.</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Deferred Certain Tax Payments</w:t>
      </w:r>
      <w:r>
        <w:rPr>
          <w:rFonts w:ascii="Arial" w:cs="Arial" w:eastAsia="Arial" w:hAnsi="Arial"/>
          <w:sz w:val="18"/>
          <w:szCs w:val="18"/>
          <w:color w:val="auto"/>
        </w:rPr>
        <w:t xml:space="preserve"> – In accordance with Section 2302 of the CARES Act, we elected to defer the deposit and payment of the employer’s portion of Social Security taxes. These deferred amounts must be repaid 50% on December 31, 2021 with the remaining 50% on December 31, 2022. As of December 31, 2020, we deferred $627,000, which is included in Deferred payroll tax liability – CARES Act on the accompanying Condensed Consolidated Balance Sheet.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Received a Net Operating Loss Refund</w:t>
      </w:r>
      <w:r>
        <w:rPr>
          <w:rFonts w:ascii="Arial" w:cs="Arial" w:eastAsia="Arial" w:hAnsi="Arial"/>
          <w:sz w:val="18"/>
          <w:szCs w:val="18"/>
          <w:color w:val="auto"/>
        </w:rPr>
        <w:t xml:space="preserve"> – Pursuant to the CARES Act, we filed a net operating loss carryback claim for $1,416,000, which was received during the second quarter 2020.</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Also, the U.S. Department of Defense has, to date, taken steps to increase the rate for certain progress payments from 80 percent to 90 percent for costs incurred and work performed on certain contracts.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taking advantage of U.S. government programs, during fiscal 2020 we took additional significant steps to improve our liquidity and operating performance, including:</w:t>
      </w:r>
    </w:p>
    <w:p>
      <w:pPr>
        <w:spacing w:after="0" w:line="170" w:lineRule="exact"/>
        <w:rPr>
          <w:sz w:val="20"/>
          <w:szCs w:val="20"/>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Entered into a Lower Cost Financing Facility</w:t>
      </w:r>
      <w:r>
        <w:rPr>
          <w:rFonts w:ascii="Arial" w:cs="Arial" w:eastAsia="Arial" w:hAnsi="Arial"/>
          <w:sz w:val="18"/>
          <w:szCs w:val="18"/>
          <w:color w:val="auto"/>
        </w:rPr>
        <w:t xml:space="preserve"> – On December 31, 2019, we entered into a new loan facility (“SNB Facility”) with Sterling National Bank, (“SNB”) which expires on December 30, 2022. The SNB Facility provides for a $16,000,000 revolving loan (“SNB revolving line of credit”) and a term loan (“SNB term loan”). The interest on the SNB Facility is more advantageous than that of our previous lending facility which we paid off with the proceeds from the SNB Facility.</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Increased Term Loan to Modernize Equipment</w:t>
      </w:r>
      <w:r>
        <w:rPr>
          <w:rFonts w:ascii="Arial" w:cs="Arial" w:eastAsia="Arial" w:hAnsi="Arial"/>
          <w:sz w:val="17"/>
          <w:szCs w:val="17"/>
          <w:color w:val="auto"/>
        </w:rPr>
        <w:t xml:space="preserve"> – On November 6, 2020, we amended the SNB Facility, increasing the Term Loan to $5,685,000. This allowed us to finance the acquisition of the new equipment at what we believe to be a reasonable interest rate.</w:t>
      </w:r>
    </w:p>
    <w:p>
      <w:pPr>
        <w:spacing w:after="0" w:line="14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repayment terms of the term loan were amended to provide monthly principal installments in the amount of $67,679 beginning on December 1, 2020, with a final payment of any unpaid balance of principal and interest payable on December 30, 2022. We paid an amendment fee of $20,000. Additionally, the date by which certain subordinated third-party notes were to be extended by was changed from September 30, 2020 to November 30, 2020. We caused all of these notes to be converted into common stock prior to December 31, 2020.</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formula to determine the amounts of revolving advances permitted to be borrowed under the SNB revolving line of credit is based on a percentage of eligible receivables and inventory (as defined in the SNB Facility).</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so long as the SNB term loan remains outstanding, if Excess Cash Flow (as defined) is a positive number for any fiscal year, beginning with the year ending December 31, 2020, we shall pay to SNB an amount equal to the lesser of (i) twenty-five percent (25%) of the Excess Cash Flow for such Fiscal Year and (ii) the outstanding principal balance of the term loan. Such payment shall be made to SNB and applied to the outstanding principal balance of the term loan, on or prior to the April 15 immediately following such Fiscal Year.</w:t>
      </w:r>
    </w:p>
    <w:p>
      <w:pPr>
        <w:spacing w:after="0" w:line="1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June 14, 2021, we entered into the Second Amendment to the Loan and Security Agreement (“Second Amendment”). The purpose of the Second Amendment was to clarify the definition and calculation of Excess Cash Flow, and to confirm the extension of the due date for the payment of the Excess Cash Flow. The amount of the Excess Cash Flow payment for the year ended December 31, 2020 was calculated to be $558,750. Per the terms of the Second Amendment, the Excess Cash Flow is payable in three installments of $186,250 on each of June 15, 2021, June 30, 2021, and September 15, 2021. As of June 30, 2021, we paid the first two installments totaling $372,500. Additionally, we paid an amendment fee of $10,000.</w:t>
      </w:r>
    </w:p>
    <w:p>
      <w:pPr>
        <w:spacing w:after="0" w:line="19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terms of the SNB Facility require that, among other things, we maintain a specified Fixed Charge Coverage Ratio of 1.25 to 1.00 at the end of each Fiscal Quarter beginning with the Fiscal Quarter ending March 31, 2020. In addition, we are limited in the amount of Capital Expenditures we can make. As of June 30, 2021, we were in compliance with all loan covenants. The SNB Facility also restricts the amount of dividends we may pay to our stockholders. Substantially all of our assets are pledged as collateral under the SNB Facility.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ind w:left="660" w:right="20"/>
        <w:spacing w:after="0" w:line="277" w:lineRule="auto"/>
        <w:rPr>
          <w:sz w:val="20"/>
          <w:szCs w:val="20"/>
          <w:color w:val="auto"/>
        </w:rPr>
      </w:pPr>
      <w:r>
        <w:rPr>
          <w:rFonts w:ascii="Arial" w:cs="Arial" w:eastAsia="Arial" w:hAnsi="Arial"/>
          <w:sz w:val="18"/>
          <w:szCs w:val="18"/>
          <w:color w:val="auto"/>
        </w:rPr>
        <w:t>As of June 30, 2021, our debt to SNB in the amount of $20,049,000 consisted of the SNB revolving line of credit note in the amount of $15,256,000 and the SNB term loan in the amount of $4,793,000.</w:t>
      </w:r>
    </w:p>
    <w:p>
      <w:pPr>
        <w:spacing w:after="0" w:line="170" w:lineRule="exact"/>
        <w:rPr>
          <w:sz w:val="20"/>
          <w:szCs w:val="20"/>
          <w:color w:val="auto"/>
        </w:rPr>
      </w:pPr>
    </w:p>
    <w:p>
      <w:pPr>
        <w:jc w:val="both"/>
        <w:ind w:left="980" w:hanging="324"/>
        <w:spacing w:after="0" w:line="301"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Conversion and Extension of Subordinated Notes – During 2020, third party holders of convertible subordinated notes of the remaining principal balance plus accrued interest, converted these notes into common stock. In addition, the maturity date of related party convertible subordinated notes and subordinated notes payable in the aggregate amount of $6,012,000 plus $400,000 of accrued interest was extended until July 1, 2023, and we were relieved of the obligation to make any principal payments on these notes prior to maturity.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continue to believe our fiscal 2021 sales will be higher than the amount achieved in fiscal 2020, we believe our liquidity for the remainder of 2021 will continue to improve.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cash flow from operating, investing and financing activities for the periods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June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Cash (used in) provided by</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(631,000)</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(309,000)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(1,178,000)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(1,990,000</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operating activities primarily consists of our net income of $87,000 adjusted for certain non-cash items and changes to working capital items.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2021 non-cash items of $1,920,000 consisted primarily of depreciation of property and equipment of $1,417,000, non-cash employee stock compensation expense of $214,000, amortization of right-of-use assets of $240,000 and non-cash directors’ compensation expense of $104,000 offset by $195,000 of non-cash income. The remaining non-cash items totaled $140,000.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assets and liabilities used cash in the net amount of $2,188,000 consisting primarily of the net increases in accounts receivable, prepaid expenses and other current assets in the amounts of $3,435,000, $49,000 and $4,000, respectively and decreases in accounts payable and operating lease liabilities of $894,000, and $390,000, respectively, partially offset by a decrease in inventory in the amount of $1,911,000 and an increase in deferred revenue in the amount of $673,000.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 consists of capital expenditures for property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six months ended June 30, 2021, cash used in investing activities was $631,000. This was for the purchase of 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2021, cash used in financing activities consisted of net payments on our SNB revolving loan and term note in the amounts of $393,000 and $778,000, respectively and payments of $3,000 and $4,000 on our financing lease obligations and loan payable – financed asset.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critical accounting policy is one that is both important to the portrayal of a company’s financial condition and results of operations and requires management’s most difficult, subjective or complex judgments, often as a result of the need to make estimates about the effect of matters that are inherently uncertain.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presented in accordance with U.S. GAAP, and all applicable U.S. GAAP accounting standards effective as of June 30, 2021 have been taken into consideration in preparing the condensed consolidated financial statements. The preparation of condensed consolidated financial statements requires estimates and assumptions that affect the reported amounts of assets, liabilities, revenues, expenses and related disclosures. Some of those estimates are subjective and complex, and, consequently, actual results could differ from those estimates. The following accounting policies and estimates have been highlighted as significant because changes to certain judgments and assumptions inherent in these policies could affect our condensed consolidated financial statements:</w:t>
      </w:r>
    </w:p>
    <w:p>
      <w:pPr>
        <w:spacing w:after="0" w:line="17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base our estimates, to the extent possible, on historical experience. Historical information is modified as appropriate based on current business factors and various assumptions that we believe are necessary to form a basis for making judgments about the carrying value of assets and liabilities. We evaluate our estimates on an on-going basis and make changes when necessary. Actual results could differ from our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Condensed Consolidated Financial Statements for a discussion of recently issued accounting pronouncements.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senior management is responsible for establishing and maintaining a system of disclosure controls and procedures, as defined in Rules 13a-15(e) and 15d-15(e) under the Securities Exchange Act of 1934, (the “Exchange Act”) designed to ensure that the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evaluated the effectiveness of the design and operation of our disclosure controls and procedures as of the end of the period covered by this Report under the supervision of and with the participation of management, including our Chief Executive Officer and our Chief Financial Officer. Based on that evaluation, our Chief Executive Officer and our Chief Financial Officer have concluded that as of the end of the period covered by this report, our disclosure controls and procedures were effective.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which is the subject of this report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Prospective investors are encouraged to consider the risks described in our 2020 Form 10-K, our Management’s Discussion and Analysis of Financial Condition and Results of Operations contained in this Report and other information publicly disclosed or contained in documents we file with the Securities and Exchange Commission before purchasing our securities. The following risk factor supplements the risk factors described in our 2020 Form 10-K, and should be read in conjunction with the other risk factors presented in our Annual Report which are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COVID-19 pandemic and the resulting macroeconomic disruptions have affected how we, our customers and our suppliers are operating our businesses and disrupted supply chains in various industries. The duration and extent to which this will impact our future results of operations and overall financial performance remains uncertain. Our operations have substantially returned to normal, nevertheless, any future disruption from COVID-19 or any other event which depresses macroeconomic results or disrupts supply chains, may materially impact our business and our consolidated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previously disclosed on our Exchange Act reports, we did not issue or sell any unregistered equity securities during the period covered by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11"/>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Agreement and Plan of Merger dated July 29, 2013 between Air Industries Group, Inc. and Air Industries Group (incorporated herein by</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reference to Exhibit 2.1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Articles of Merger between Air Industries Group and Air Industries Group, Inc. filed with the Secretary of State of Nevada on August 28,</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2013 (incorporated herein by reference to Exhibit 3.2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Certificate of Merger between Air Industries Group and Air Industries Group, Inc. filed with the Secretary of State of Nevada on August</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29, 2013 (incorporated herein by reference to Exhibit 3.3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Articles of Incorporation of Air Industries Group (incorporated herein by reference to Exhibit 3.1 to the Company’s Current Report on</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7"/>
              </w:rPr>
            </w:pPr>
            <w:hyperlink r:id="rId47">
              <w:r>
                <w:rPr>
                  <w:rFonts w:ascii="Arial" w:cs="Arial" w:eastAsia="Arial" w:hAnsi="Arial"/>
                  <w:sz w:val="18"/>
                  <w:szCs w:val="18"/>
                  <w:color w:val="0000EE"/>
                  <w:w w:val="97"/>
                </w:rPr>
                <w:t>Certificate of Amendment increasing authorized shares of common stock to 60,000,000 shares (incorporated by reference to the</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Company’s Quarterly Report on Form 10-Q for the period ended June 30, 2019 filed on August 8, 2019).</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Amended and Restated By-Laws of the Company (incorporated herein by reference to Exhibit 3.2 to the Company’s Annual Report on</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Form 10-K for the year ended December 31, 2014 filed on March 31, 2015).</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Second Amendment to Loan and Security Agreement with Sterling National Bank</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Certifications</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Certification of principal executive officer pursuant to Rule 13a-14 or Rule 15d-14 of Securities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Certification of principal financial officer pursuant to Rule 13a-14 or Rule 15d-14 of the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Certification of principal executive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Certification of principal financial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XBRL Presentation</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00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8"/>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40" w:right="3420" w:hanging="5532"/>
        <w:spacing w:after="0" w:line="759" w:lineRule="auto"/>
        <w:tabs>
          <w:tab w:leader="none" w:pos="12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AIR INDUSTRIES GROUP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 LOAN AND SECURITY AGREEMENT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SECOND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LOAN AND SECURITY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is dated June 14, 2021, effective as of April 15, 2021, and is made by and among (a) AIR INDUSTRIES MACHINING, CORP., a New York corporation (“</w:t>
      </w:r>
      <w:r>
        <w:rPr>
          <w:rFonts w:ascii="Arial" w:cs="Arial" w:eastAsia="Arial" w:hAnsi="Arial"/>
          <w:sz w:val="18"/>
          <w:szCs w:val="18"/>
          <w:u w:val="single" w:color="auto"/>
          <w:color w:val="auto"/>
        </w:rPr>
        <w:t>AIM</w:t>
      </w:r>
      <w:r>
        <w:rPr>
          <w:rFonts w:ascii="Arial" w:cs="Arial" w:eastAsia="Arial" w:hAnsi="Arial"/>
          <w:sz w:val="18"/>
          <w:szCs w:val="18"/>
          <w:color w:val="auto"/>
        </w:rPr>
        <w:t>”), NASSAU TOOL WORKS, INC., a New York corporation (“</w:t>
      </w:r>
      <w:r>
        <w:rPr>
          <w:rFonts w:ascii="Arial" w:cs="Arial" w:eastAsia="Arial" w:hAnsi="Arial"/>
          <w:sz w:val="18"/>
          <w:szCs w:val="18"/>
          <w:u w:val="single" w:color="auto"/>
          <w:color w:val="auto"/>
        </w:rPr>
        <w:t>NTW</w:t>
      </w:r>
      <w:r>
        <w:rPr>
          <w:rFonts w:ascii="Arial" w:cs="Arial" w:eastAsia="Arial" w:hAnsi="Arial"/>
          <w:sz w:val="18"/>
          <w:szCs w:val="18"/>
          <w:color w:val="auto"/>
        </w:rPr>
        <w:t>”), THE STERLING ENGINEERING CORPORATION, a Connecticut corporation (“</w:t>
      </w:r>
      <w:r>
        <w:rPr>
          <w:rFonts w:ascii="Arial" w:cs="Arial" w:eastAsia="Arial" w:hAnsi="Arial"/>
          <w:sz w:val="18"/>
          <w:szCs w:val="18"/>
          <w:u w:val="single" w:color="auto"/>
          <w:color w:val="auto"/>
        </w:rPr>
        <w:t>Engineering</w:t>
      </w:r>
      <w:r>
        <w:rPr>
          <w:rFonts w:ascii="Arial" w:cs="Arial" w:eastAsia="Arial" w:hAnsi="Arial"/>
          <w:sz w:val="18"/>
          <w:szCs w:val="18"/>
          <w:color w:val="auto"/>
        </w:rPr>
        <w:t>”; and together with AIM and NTW, “</w:t>
      </w:r>
      <w:r>
        <w:rPr>
          <w:rFonts w:ascii="Arial" w:cs="Arial" w:eastAsia="Arial" w:hAnsi="Arial"/>
          <w:sz w:val="18"/>
          <w:szCs w:val="18"/>
          <w:u w:val="single" w:color="auto"/>
          <w:color w:val="auto"/>
        </w:rPr>
        <w:t>Borrowers</w:t>
      </w:r>
      <w:r>
        <w:rPr>
          <w:rFonts w:ascii="Arial" w:cs="Arial" w:eastAsia="Arial" w:hAnsi="Arial"/>
          <w:sz w:val="18"/>
          <w:szCs w:val="18"/>
          <w:color w:val="auto"/>
        </w:rPr>
        <w:t>”), (b) AIR INDUSTRIES GROUP, a Nevada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AIR REALTY GROUP, LLC, a Connecticut limited liability company (“Realty”; and together with Parent, the “</w:t>
      </w:r>
      <w:r>
        <w:rPr>
          <w:rFonts w:ascii="Arial" w:cs="Arial" w:eastAsia="Arial" w:hAnsi="Arial"/>
          <w:sz w:val="18"/>
          <w:szCs w:val="18"/>
          <w:u w:val="single" w:color="auto"/>
          <w:color w:val="auto"/>
        </w:rPr>
        <w:t>Guarantors</w:t>
      </w:r>
      <w:r>
        <w:rPr>
          <w:rFonts w:ascii="Arial" w:cs="Arial" w:eastAsia="Arial" w:hAnsi="Arial"/>
          <w:sz w:val="18"/>
          <w:szCs w:val="18"/>
          <w:color w:val="auto"/>
        </w:rPr>
        <w:t>”) and (b) STERLING NATIONAL BANK, a national banking association (together with its successors and permitted assigns,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that certain Loan and Security Agreement, dated as of December 31, 2019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Borrowers, Guarantors, the other Credit Parties party thereto, and Lender, Lender has agreed to make certain financial accommodations available to Borrowers from time to time pursuant to the terms and conditions thereof (capitalized terms used herein and not otherwise defined herein shall have the meanings assigned to such terms in the Loan Agreement, as amended hereby).</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Borrowers and Lender desire to confirm Lender’s agreement to extend the due date for payment of the portion of Parent’s Excess Cash Flow for the Fiscal Year ending December 31, 2020, as required by Section 4.2(b) of the Loan Agreement, as described in this Amendment.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of the mutual covenants and agreements herein contained, it is agreed as follows: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to Loan Agreement.</w:t>
      </w:r>
      <w:r>
        <w:rPr>
          <w:rFonts w:ascii="Arial" w:cs="Arial" w:eastAsia="Arial" w:hAnsi="Arial"/>
          <w:sz w:val="18"/>
          <w:szCs w:val="18"/>
          <w:color w:val="auto"/>
        </w:rPr>
        <w:t xml:space="preserve"> As of the effective date of this Amendment, the Loan Agreement is amended as follows:</w:t>
      </w:r>
    </w:p>
    <w:p>
      <w:pPr>
        <w:spacing w:after="0" w:line="225" w:lineRule="exact"/>
        <w:rPr>
          <w:sz w:val="20"/>
          <w:szCs w:val="20"/>
          <w:color w:val="auto"/>
        </w:rPr>
      </w:pPr>
    </w:p>
    <w:p>
      <w:pPr>
        <w:ind w:firstLine="656"/>
        <w:spacing w:after="0" w:line="277" w:lineRule="auto"/>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The definition of “Excess Cash Flow” set forth in Section 1.1 of the Loan Agreement is amended by the addition of the following proviso at the end of such definition:</w:t>
      </w:r>
    </w:p>
    <w:p>
      <w:pPr>
        <w:spacing w:after="0" w:line="170" w:lineRule="exact"/>
        <w:rPr>
          <w:sz w:val="20"/>
          <w:szCs w:val="20"/>
          <w:color w:val="auto"/>
        </w:rPr>
      </w:pPr>
    </w:p>
    <w:p>
      <w:pPr>
        <w:jc w:val="both"/>
        <w:ind w:firstLine="656"/>
        <w:spacing w:after="0" w:line="263" w:lineRule="auto"/>
        <w:tabs>
          <w:tab w:leader="none" w:pos="74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the “Loss from Discontinued Operations” reported on Parent’s financial statements for the Fiscal Year ending December 31, 2020 in the amount of $230,000, shall be deducted from EBITDA for purposes of calculating Excess Cash Flow for the Fiscal Year ending December 31, 2020 only. The foregoing proviso is a one-time accommodation to Borrowers by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Section 4.2</w:t>
      </w:r>
      <w:r>
        <w:rPr>
          <w:rFonts w:ascii="Arial" w:cs="Arial" w:eastAsia="Arial" w:hAnsi="Arial"/>
          <w:sz w:val="18"/>
          <w:szCs w:val="18"/>
          <w:color w:val="auto"/>
        </w:rPr>
        <w:t>. Section 4.2(b) of the Loan Agreement is amended by the addition of the following proviso at the end of such section:</w:t>
      </w:r>
    </w:p>
    <w:p>
      <w:pPr>
        <w:spacing w:after="0" w:line="225" w:lineRule="exact"/>
        <w:rPr>
          <w:sz w:val="20"/>
          <w:szCs w:val="20"/>
          <w:color w:val="auto"/>
        </w:rPr>
      </w:pPr>
    </w:p>
    <w:p>
      <w:pPr>
        <w:jc w:val="both"/>
        <w:ind w:firstLine="656"/>
        <w:spacing w:after="0" w:line="263"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and notwithstanding the foregoing, the prepayment due under this Section 4.2(b) from Excess Cash Flow for Parent’s Fiscal Year ending December 31, 2020, shall be payable as follows: (a) $186,250 shall be due and payable on June 15, 2021, (b) $186,250 shall be due and payable on June 30, 2021, and (c) $186,250 on September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both"/>
        <w:ind w:firstLine="656"/>
        <w:spacing w:after="0" w:line="271" w:lineRule="auto"/>
        <w:tabs>
          <w:tab w:leader="none" w:pos="82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 Other Changes; Affirmation of Obligations and Liens.</w:t>
      </w:r>
      <w:r>
        <w:rPr>
          <w:rFonts w:ascii="Arial" w:cs="Arial" w:eastAsia="Arial" w:hAnsi="Arial"/>
          <w:sz w:val="17"/>
          <w:szCs w:val="17"/>
          <w:color w:val="auto"/>
        </w:rPr>
        <w:t xml:space="preserve"> Except as explicitly amended by this Amendment, all of the terms and conditions of the Loan Agreement shall remain in full force and effect and shall apply to any Loan made thereunder. Each Credit Party hereby approves and consents to the amendments contemplated by this Amendment and agrees that its obligations under the Loan Agreement and the other Loan Documents to which it is a party shall not be diminished as a result of the execution of this Amendment. This acknowledgement by the Credit Parties is made and delivered to induce the Lender to enter into this Amendment, and the Credit Parties acknowledge that the Lender would not enter into this Amendment in the absence of the acknowledgements contained herein. Each Credit Party hereby ratifies and confirms the grant of a security interest in and Lien on the Collateral contained in the Loan Documents to which it is a party, which security interest and Lien shall continue in full force and effect without interruption, and shall constitute the single grant of a security interest and Lien.</w:t>
      </w:r>
    </w:p>
    <w:p>
      <w:pPr>
        <w:spacing w:after="0" w:line="191" w:lineRule="exact"/>
        <w:rPr>
          <w:rFonts w:ascii="Arial" w:cs="Arial" w:eastAsia="Arial" w:hAnsi="Arial"/>
          <w:sz w:val="17"/>
          <w:szCs w:val="17"/>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xml:space="preserve"> This Amendment shall be effective when Lender shall have received the following:</w:t>
      </w:r>
    </w:p>
    <w:p>
      <w:pPr>
        <w:spacing w:after="0" w:line="225" w:lineRule="exact"/>
        <w:rPr>
          <w:sz w:val="20"/>
          <w:szCs w:val="20"/>
          <w:color w:val="auto"/>
        </w:rPr>
      </w:pPr>
    </w:p>
    <w:p>
      <w:pPr>
        <w:ind w:firstLine="656"/>
        <w:spacing w:after="0" w:line="277" w:lineRule="auto"/>
        <w:tabs>
          <w:tab w:leader="none" w:pos="9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Fully executed counterparts of this Amendment properly executed by Borrowers and each Guarantor, with originals delivered to the Lender within two (2) Business Days of the date hereof.</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the amendment fee described in paragraph 5 below.</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matters as Lender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Credit Party hereby represents and warrants to Lender as follows:</w:t>
      </w:r>
    </w:p>
    <w:p>
      <w:pPr>
        <w:spacing w:after="0" w:line="239"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Credit Party has all requisite power and authority to execute this Amendment and to perform all of its obligations hereunder.</w:t>
      </w:r>
    </w:p>
    <w:p>
      <w:pPr>
        <w:spacing w:after="0" w:line="225" w:lineRule="exact"/>
        <w:rPr>
          <w:rFonts w:ascii="Arial" w:cs="Arial" w:eastAsia="Arial" w:hAnsi="Arial"/>
          <w:sz w:val="18"/>
          <w:szCs w:val="18"/>
          <w:color w:val="auto"/>
        </w:rPr>
      </w:pPr>
    </w:p>
    <w:p>
      <w:pPr>
        <w:ind w:firstLine="656"/>
        <w:spacing w:after="0" w:line="277" w:lineRule="auto"/>
        <w:tabs>
          <w:tab w:leader="none" w:pos="9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execution, delivery and performance by each Credit Party of this Amendment has been duly authorized by all necessary action on the part of such Credit Party.</w:t>
      </w:r>
    </w:p>
    <w:p>
      <w:pPr>
        <w:spacing w:after="0" w:line="170" w:lineRule="exact"/>
        <w:rPr>
          <w:rFonts w:ascii="Arial" w:cs="Arial" w:eastAsia="Arial" w:hAnsi="Arial"/>
          <w:sz w:val="18"/>
          <w:szCs w:val="18"/>
          <w:color w:val="auto"/>
        </w:rPr>
      </w:pPr>
    </w:p>
    <w:p>
      <w:pPr>
        <w:jc w:val="both"/>
        <w:ind w:right="20" w:firstLine="656"/>
        <w:spacing w:after="0" w:line="311" w:lineRule="auto"/>
        <w:tabs>
          <w:tab w:leader="none" w:pos="897"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Credit Party’s execution, delivery, and performance of this Amendment do not and will not conflict with, violate or constitute a violation of or breach or default under, as applicable, (i) its organizational documents, (ii) any agreement or instrument to which it or any of its Subsidiaries is a party or which is otherwise binding upon it or any of its Subsidiaries or (iii) any Applicable Law applicable to it or any of its Subsidiaries.</w:t>
      </w:r>
    </w:p>
    <w:p>
      <w:pPr>
        <w:spacing w:after="0" w:line="148" w:lineRule="exact"/>
        <w:rPr>
          <w:rFonts w:ascii="Arial" w:cs="Arial" w:eastAsia="Arial" w:hAnsi="Arial"/>
          <w:sz w:val="16"/>
          <w:szCs w:val="16"/>
          <w:color w:val="auto"/>
        </w:rPr>
      </w:pPr>
    </w:p>
    <w:p>
      <w:pPr>
        <w:ind w:right="20" w:firstLine="656"/>
        <w:spacing w:after="0" w:line="308"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approval, consent, exemption, authorization or other action by, or notice to, or filing with, any Governmental Authority is necessary or required in connection with the execution, delivery or performance by, or enforcement against, any Credit Party of this Amendment.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56"/>
        <w:spacing w:after="0" w:line="263" w:lineRule="auto"/>
        <w:tabs>
          <w:tab w:leader="none" w:pos="9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Credit Party that is a party hereto and is the legally valid and binding obligation of such Credit Party, enforceable against such Credit Party in accordance with its terms, except as may be limited by bankruptcy, insolvency, reorganization, moratorium or similar laws relating to enforcement of creditors’ rights.</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After giving effect to this Amendment and the transactions contemplated hereby, no Default or Event of Default has occurred and is continuing.</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Both immediately before and immediately after giving effect to this Amendment and the transactions contemplated hereby, all of the representations and warranties contained in Article VII of the Loan Agreement are true, complete and correct in all respects as of the date of this Amendment as though made on and as of the date hereof (except to the extent such representations or warranties relate solely to an earlier date, in which case such representations and warranties shall be true and correct in all respects as of such earlier date).</w:t>
      </w:r>
    </w:p>
    <w:p>
      <w:pPr>
        <w:spacing w:after="0" w:line="187" w:lineRule="exact"/>
        <w:rPr>
          <w:sz w:val="20"/>
          <w:szCs w:val="20"/>
          <w:color w:val="auto"/>
        </w:rPr>
      </w:pPr>
    </w:p>
    <w:p>
      <w:pPr>
        <w:jc w:val="both"/>
        <w:ind w:firstLine="656"/>
        <w:spacing w:after="0" w:line="263" w:lineRule="auto"/>
        <w:tabs>
          <w:tab w:leader="none" w:pos="85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Fee</w:t>
      </w:r>
      <w:r>
        <w:rPr>
          <w:rFonts w:ascii="Arial" w:cs="Arial" w:eastAsia="Arial" w:hAnsi="Arial"/>
          <w:sz w:val="18"/>
          <w:szCs w:val="18"/>
          <w:color w:val="auto"/>
        </w:rPr>
        <w:t>. In consideration of Lender’s agreement to enter into this Amendment, Borrowers shall pay to Lender a non-refundable amendment fee in an amount equal to $10,000, which amendment fee has been fully earned as of the effective date of this Amendment, and which shall be charged as a Loan upon execution and delivery of this Amendment.</w:t>
      </w:r>
    </w:p>
    <w:p>
      <w:pPr>
        <w:spacing w:after="0" w:line="183" w:lineRule="exact"/>
        <w:rPr>
          <w:rFonts w:ascii="Arial" w:cs="Arial" w:eastAsia="Arial" w:hAnsi="Arial"/>
          <w:sz w:val="18"/>
          <w:szCs w:val="18"/>
          <w:color w:val="auto"/>
        </w:rPr>
      </w:pPr>
    </w:p>
    <w:p>
      <w:pPr>
        <w:ind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References</w:t>
      </w:r>
      <w:r>
        <w:rPr>
          <w:rFonts w:ascii="Arial" w:cs="Arial" w:eastAsia="Arial" w:hAnsi="Arial"/>
          <w:sz w:val="16"/>
          <w:szCs w:val="16"/>
          <w:color w:val="auto"/>
        </w:rPr>
        <w:t>. All references in the Loan Agreement to “this Agreement” shall be deemed to refer to the Loan Agreement as amended hereby; and any and all references in the Loan Documents to the Loan Agreement shall be deemed to refer to the Loan Agreement as amended hereby.</w:t>
      </w:r>
    </w:p>
    <w:p>
      <w:pPr>
        <w:spacing w:after="0" w:line="123" w:lineRule="exact"/>
        <w:rPr>
          <w:rFonts w:ascii="Arial" w:cs="Arial" w:eastAsia="Arial" w:hAnsi="Arial"/>
          <w:sz w:val="16"/>
          <w:szCs w:val="16"/>
          <w:color w:val="auto"/>
        </w:rPr>
      </w:pPr>
    </w:p>
    <w:p>
      <w:pPr>
        <w:jc w:val="both"/>
        <w:ind w:firstLine="656"/>
        <w:spacing w:after="0" w:line="263"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execution of this Amendment shall not be deemed to be a waiver of any Default or Event of Default under the Loan Agreement or breach, default or event of default under any Loan Documents or other document held by Lender, whether or not known to Lender and whether or not existing on the date of this Amendment.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Each Credit Party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such Credit Party has had, now has or has made claim to have against any such person for or by reason of any act, omission, matter, cause or thing whatsoever relating to any Loan Document arising from the beginning of time to and including the date of this Amendment, whether such claims, demands and causes of action are matured or unmatured or known or unknown.</w:t>
      </w:r>
    </w:p>
    <w:p>
      <w:pPr>
        <w:spacing w:after="0" w:line="194" w:lineRule="exact"/>
        <w:rPr>
          <w:rFonts w:ascii="Arial" w:cs="Arial" w:eastAsia="Arial" w:hAnsi="Arial"/>
          <w:sz w:val="18"/>
          <w:szCs w:val="18"/>
          <w:color w:val="auto"/>
        </w:rPr>
      </w:pPr>
    </w:p>
    <w:p>
      <w:pPr>
        <w:jc w:val="both"/>
        <w:ind w:firstLine="656"/>
        <w:spacing w:after="0" w:line="255"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Borrowers hereby reaffirm their agreement under the Loan Agreement to pay or reimburse Lender on demand for all costs and expenses relating to this Amendment. Without limiting the generality of the foregoing, Borrowers specifically agree to pay Lender’s reasonable costs and expenses (including reasonable attorneys’ fees and costs) incurred in in connection with the preparation of this Amendment and the documents and instruments incidental hereto. Borrowers hereby agree that Lender may, at any time or from time to time in its sole discretion and without further authorization by Borrowers, make a Loan to Borrowers under the Loan Agreement, or apply the proceeds of any Loan, for the purpose of paying any such fees, disbursements, costs and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20" w:firstLine="656"/>
        <w:spacing w:after="0" w:line="257" w:lineRule="auto"/>
        <w:tabs>
          <w:tab w:leader="none" w:pos="92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any number of counterparts and by different parties hereto in separate counterparts, each of which when so executed and delivered shall be deemed to be an original and all of which taken together shall constitute but one and the same agreement. Delivery of an executed counterpart of a signature page to this Amendment by facsimile or other electronic transmission (i.e., “pdf’’ or “tif’’) shall be effective as delivery of a manually executed counterpart of this Amendment. Notwithstanding the foregoing, the Loan Parties shall promptly deliver original signatures of this Amendment to Lender.</w:t>
      </w:r>
    </w:p>
    <w:p>
      <w:pPr>
        <w:spacing w:after="0" w:line="187" w:lineRule="exact"/>
        <w:rPr>
          <w:rFonts w:ascii="Arial" w:cs="Arial" w:eastAsia="Arial" w:hAnsi="Arial"/>
          <w:sz w:val="18"/>
          <w:szCs w:val="18"/>
          <w:color w:val="auto"/>
        </w:rPr>
      </w:pPr>
    </w:p>
    <w:p>
      <w:pPr>
        <w:ind w:left="-20" w:firstLine="656"/>
        <w:spacing w:after="0" w:line="277" w:lineRule="auto"/>
        <w:tabs>
          <w:tab w:leader="none" w:pos="89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are for convenience of reference only, and are not part of, and are not to be taken into consideration in interpreting this Amendment.</w:t>
      </w:r>
    </w:p>
    <w:p>
      <w:pPr>
        <w:spacing w:after="0" w:line="170" w:lineRule="exact"/>
        <w:rPr>
          <w:rFonts w:ascii="Arial" w:cs="Arial" w:eastAsia="Arial" w:hAnsi="Arial"/>
          <w:sz w:val="18"/>
          <w:szCs w:val="18"/>
          <w:color w:val="auto"/>
        </w:rPr>
      </w:pPr>
    </w:p>
    <w:p>
      <w:pPr>
        <w:ind w:left="900" w:hanging="26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written above.</w:t>
      </w:r>
    </w:p>
    <w:p>
      <w:pPr>
        <w:spacing w:after="0" w:line="24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AIR INDUSTRIES MACHINING, CORP.,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494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NASSAU TOOL WORKS, INC., as a Borrower</w:t>
      </w:r>
    </w:p>
    <w:p>
      <w:pPr>
        <w:spacing w:after="0" w:line="248"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THE STERLING ENGINEERING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CORPORATION, as a Borrower</w:t>
      </w:r>
    </w:p>
    <w:p>
      <w:pPr>
        <w:spacing w:after="0" w:line="211"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AIR INDUSTRIES GROUP, as a Guarantor</w:t>
      </w:r>
    </w:p>
    <w:p>
      <w:pPr>
        <w:spacing w:after="0" w:line="225"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AIR REALTY GROUP, LLC, as a Guarantor</w:t>
      </w:r>
    </w:p>
    <w:p>
      <w:pPr>
        <w:spacing w:after="0" w:line="237"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443230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0"/>
          </w:cols>
          <w:pgMar w:left="1080" w:top="908" w:right="1339" w:bottom="1440" w:gutter="0" w:footer="0" w:header="0"/>
        </w:sectPr>
      </w:pPr>
    </w:p>
    <w:bookmarkStart w:id="38" w:name="page39"/>
    <w:bookmarkEnd w:id="38"/>
    <w:p>
      <w:pPr>
        <w:ind w:left="5640"/>
        <w:spacing w:after="0"/>
        <w:rPr>
          <w:sz w:val="20"/>
          <w:szCs w:val="20"/>
          <w:color w:val="auto"/>
        </w:rPr>
      </w:pPr>
      <w:r>
        <w:rPr>
          <w:rFonts w:ascii="Arial" w:cs="Arial" w:eastAsia="Arial" w:hAnsi="Arial"/>
          <w:sz w:val="18"/>
          <w:szCs w:val="18"/>
          <w:color w:val="auto"/>
        </w:rPr>
        <w:t>STERLING NATIONAL BANK</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Long</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Mark J. Long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3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Luciano Melluzzo,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 Industries Group;</w:t>
      </w:r>
    </w:p>
    <w:p>
      <w:pPr>
        <w:spacing w:after="0" w:line="225" w:lineRule="exact"/>
        <w:rPr>
          <w:rFonts w:ascii="Arial" w:cs="Arial" w:eastAsia="Arial" w:hAnsi="Arial"/>
          <w:sz w:val="18"/>
          <w:szCs w:val="18"/>
          <w:color w:val="auto"/>
        </w:rPr>
      </w:pPr>
    </w:p>
    <w:p>
      <w:pPr>
        <w:ind w:firstLine="332"/>
        <w:spacing w:after="0" w:line="342" w:lineRule="auto"/>
        <w:tabs>
          <w:tab w:leader="none" w:pos="513"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332"/>
        <w:spacing w:after="0" w:line="308" w:lineRule="auto"/>
        <w:tabs>
          <w:tab w:leader="none" w:pos="51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Recca, certify that:</w:t>
      </w:r>
    </w:p>
    <w:p>
      <w:pPr>
        <w:spacing w:after="0" w:line="225" w:lineRule="exact"/>
        <w:rPr>
          <w:sz w:val="20"/>
          <w:szCs w:val="20"/>
          <w:color w:val="auto"/>
        </w:rPr>
      </w:pPr>
    </w:p>
    <w:p>
      <w:pPr>
        <w:ind w:left="520" w:hanging="18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 Industries Group;</w:t>
      </w:r>
    </w:p>
    <w:p>
      <w:pPr>
        <w:spacing w:after="0" w:line="225" w:lineRule="exact"/>
        <w:rPr>
          <w:rFonts w:ascii="Arial" w:cs="Arial" w:eastAsia="Arial" w:hAnsi="Arial"/>
          <w:sz w:val="18"/>
          <w:szCs w:val="18"/>
          <w:color w:val="auto"/>
        </w:rPr>
      </w:pPr>
    </w:p>
    <w:p>
      <w:pPr>
        <w:ind w:firstLine="332"/>
        <w:spacing w:after="0" w:line="342" w:lineRule="auto"/>
        <w:tabs>
          <w:tab w:leader="none" w:pos="5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332"/>
        <w:spacing w:after="0" w:line="308" w:lineRule="auto"/>
        <w:tabs>
          <w:tab w:leader="none" w:pos="51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14"/>
        <w:spacing w:after="0" w:line="263" w:lineRule="auto"/>
        <w:rPr>
          <w:sz w:val="20"/>
          <w:szCs w:val="20"/>
          <w:color w:val="auto"/>
        </w:rPr>
      </w:pPr>
      <w:r>
        <w:rPr>
          <w:rFonts w:ascii="Arial" w:cs="Arial" w:eastAsia="Arial" w:hAnsi="Arial"/>
          <w:sz w:val="18"/>
          <w:szCs w:val="18"/>
          <w:color w:val="auto"/>
        </w:rPr>
        <w:t>In connection with the Quarterly Report of Air Industries Group, a Nevada corporation (the “Company”), on Form 10-Q for the period ended June 30, 2021 as filed with the Securities and Exchange Commission (the “Report”), Luciano Melluzzo, Chief Executive Officer of the Company, does hereby certify, pursuant to Section 906 of the Sarbanes-Oxley Act of 2002 (18 U.S.C. ss. 1350), that:</w:t>
      </w:r>
    </w:p>
    <w:p>
      <w:pPr>
        <w:spacing w:after="0" w:line="184" w:lineRule="exact"/>
        <w:rPr>
          <w:sz w:val="20"/>
          <w:szCs w:val="20"/>
          <w:color w:val="auto"/>
        </w:rPr>
      </w:pPr>
    </w:p>
    <w:p>
      <w:pPr>
        <w:ind w:left="900" w:hanging="25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20" w:hanging="287"/>
        <w:spacing w:after="0"/>
        <w:tabs>
          <w:tab w:leader="none" w:pos="11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14"/>
        <w:spacing w:after="0" w:line="263" w:lineRule="auto"/>
        <w:rPr>
          <w:sz w:val="20"/>
          <w:szCs w:val="20"/>
          <w:color w:val="auto"/>
        </w:rPr>
      </w:pPr>
      <w:r>
        <w:rPr>
          <w:rFonts w:ascii="Arial" w:cs="Arial" w:eastAsia="Arial" w:hAnsi="Arial"/>
          <w:sz w:val="18"/>
          <w:szCs w:val="18"/>
          <w:color w:val="auto"/>
        </w:rPr>
        <w:t>In connection with the Quarterly Report of Air Industries Group, a Nevada corporation (the “Company”), on Form 10-Q for the period ended June 30, 2021, as filed with the Securities and Exchange Commission (the “Report”), Michael E. Recca, Chief Financial Officer of the Company, does hereby certify, pursuant to Section 906 of the Sarbanes-Oxley Act of 2002 (18 U.S.C. ss. 1350), that:</w:t>
      </w:r>
    </w:p>
    <w:p>
      <w:pPr>
        <w:spacing w:after="0" w:line="184" w:lineRule="exact"/>
        <w:rPr>
          <w:sz w:val="20"/>
          <w:szCs w:val="20"/>
          <w:color w:val="auto"/>
        </w:rPr>
      </w:pPr>
    </w:p>
    <w:p>
      <w:pPr>
        <w:ind w:left="900" w:hanging="25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20" w:hanging="287"/>
        <w:spacing w:after="0"/>
        <w:tabs>
          <w:tab w:leader="none" w:pos="11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04"/>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5"/>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decimal"/>
      <w:start w:val="2"/>
    </w:lvl>
  </w:abstractNum>
  <w:abstractNum w:abstractNumId="24">
    <w:nsid w:val="79838CB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43" Type="http://schemas.openxmlformats.org/officeDocument/2006/relationships/hyperlink" Target="http://www.sec.gov/Archives/edgar/data/1009891/000119380513001557/e611262_ex2-1.htm" TargetMode="External"/><Relationship Id="rId44" Type="http://schemas.openxmlformats.org/officeDocument/2006/relationships/hyperlink" Target="http://www.sec.gov/Archives/edgar/data/1009891/000119380513001557/e611262_ex3-2.htm" TargetMode="External"/><Relationship Id="rId45" Type="http://schemas.openxmlformats.org/officeDocument/2006/relationships/hyperlink" Target="http://www.sec.gov/Archives/edgar/data/1009891/000119380513001557/e611262_ex3-3.htm" TargetMode="External"/><Relationship Id="rId46" Type="http://schemas.openxmlformats.org/officeDocument/2006/relationships/hyperlink" Target="http://www.sec.gov/Archives/edgar/data/1009891/000119380513001557/e611262_ex3-1.htm" TargetMode="External"/><Relationship Id="rId47" Type="http://schemas.openxmlformats.org/officeDocument/2006/relationships/hyperlink" Target="http://www.sec.gov/Archives/edgar/data/1009891/000121390019014973/f10q0619ex3-5_airindustries.htm" TargetMode="External"/><Relationship Id="rId48" Type="http://schemas.openxmlformats.org/officeDocument/2006/relationships/hyperlink" Target="http://www.sec.gov/Archives/edgar/data/1009891/000119380515000450/e61348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2021-08-05T08:04:52Z</dcterms:created>
  <dcterms:modified xsi:type="dcterms:W3CDTF">2021-08-05T08:04:52Z</dcterms:modified>
</cp:coreProperties>
</file>